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olors2.xml" ContentType="application/vnd.ms-office.chartcolorstyle+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glossary/fontTable.xml" ContentType="application/vnd.openxmlformats-officedocument.wordprocessingml.fontTable+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styles.xml" ContentType="application/vnd.openxmlformats-officedocument.wordprocessingml.styl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846"/>
        <w:gridCol w:w="6360"/>
        <w:gridCol w:w="2422"/>
      </w:tblGrid>
      <w:tr w:rsidR="00D54E64" w:rsidRPr="00D54E64" w14:paraId="6AD8E8F0" w14:textId="1F5FEC17" w:rsidTr="00C962D3">
        <w:trPr>
          <w:trHeight w:val="849"/>
        </w:trPr>
        <w:tc>
          <w:tcPr>
            <w:tcW w:w="7206" w:type="dxa"/>
            <w:gridSpan w:val="2"/>
            <w:tcBorders>
              <w:top w:val="single" w:sz="4" w:space="0" w:color="008576"/>
              <w:left w:val="single" w:sz="4" w:space="0" w:color="008576"/>
              <w:bottom w:val="single" w:sz="4" w:space="0" w:color="008576"/>
              <w:right w:val="single" w:sz="4" w:space="0" w:color="008576"/>
            </w:tcBorders>
            <w:shd w:val="clear" w:color="auto" w:fill="0096D7"/>
            <w:vAlign w:val="center"/>
          </w:tcPr>
          <w:p w14:paraId="68324048" w14:textId="0900B6B3" w:rsidR="005A3382" w:rsidRPr="00D54E64" w:rsidRDefault="005A3382" w:rsidP="00C006F4">
            <w:pPr>
              <w:rPr>
                <w:rFonts w:cs="Arial"/>
                <w:b/>
                <w:bCs/>
                <w:color w:val="FFFFFF" w:themeColor="background1"/>
                <w:sz w:val="40"/>
                <w:szCs w:val="40"/>
              </w:rPr>
            </w:pPr>
            <w:r w:rsidRPr="00D54E64">
              <w:rPr>
                <w:rFonts w:cs="Arial"/>
                <w:b/>
                <w:bCs/>
                <w:color w:val="FFFFFF" w:themeColor="background1"/>
                <w:sz w:val="40"/>
                <w:szCs w:val="40"/>
              </w:rPr>
              <w:t>DCUSA Consultation</w:t>
            </w:r>
          </w:p>
        </w:tc>
        <w:tc>
          <w:tcPr>
            <w:tcW w:w="2422" w:type="dxa"/>
            <w:tcBorders>
              <w:top w:val="single" w:sz="4" w:space="0" w:color="008576"/>
              <w:left w:val="single" w:sz="4" w:space="0" w:color="008576"/>
              <w:bottom w:val="single" w:sz="4" w:space="0" w:color="008576"/>
              <w:right w:val="single" w:sz="4" w:space="0" w:color="008576"/>
            </w:tcBorders>
            <w:shd w:val="clear" w:color="auto" w:fill="0096D7"/>
            <w:vAlign w:val="center"/>
          </w:tcPr>
          <w:p w14:paraId="3DF0F790" w14:textId="7B529905" w:rsidR="005A3382" w:rsidRPr="00B83EF3" w:rsidRDefault="007F1955" w:rsidP="00C006F4">
            <w:pPr>
              <w:rPr>
                <w:rFonts w:cs="Arial"/>
                <w:b/>
                <w:bCs/>
                <w:color w:val="FFFFFF" w:themeColor="background1"/>
              </w:rPr>
            </w:pPr>
            <w:r w:rsidRPr="00B83EF3">
              <w:rPr>
                <w:rFonts w:cs="Arial"/>
                <w:b/>
                <w:bCs/>
                <w:color w:val="FFFFFF" w:themeColor="background1"/>
              </w:rPr>
              <w:t>At what stage is this document in the process?</w:t>
            </w:r>
          </w:p>
        </w:tc>
      </w:tr>
      <w:tr w:rsidR="00354313" w14:paraId="44E8021E" w14:textId="0593297F" w:rsidTr="00AD1AC1">
        <w:trPr>
          <w:trHeight w:val="1020"/>
        </w:trPr>
        <w:tc>
          <w:tcPr>
            <w:tcW w:w="7206" w:type="dxa"/>
            <w:gridSpan w:val="2"/>
            <w:tcBorders>
              <w:top w:val="single" w:sz="4" w:space="0" w:color="008576"/>
              <w:left w:val="single" w:sz="4" w:space="0" w:color="008576"/>
              <w:bottom w:val="single" w:sz="4" w:space="0" w:color="FFFFFF" w:themeColor="background1"/>
              <w:right w:val="single" w:sz="4" w:space="0" w:color="FFFFFF"/>
            </w:tcBorders>
          </w:tcPr>
          <w:p w14:paraId="077C4176" w14:textId="34E954FA" w:rsidR="00354313" w:rsidRPr="003908D8" w:rsidRDefault="00354313" w:rsidP="007246AD">
            <w:pPr>
              <w:rPr>
                <w:rFonts w:cs="Arial"/>
                <w:b/>
                <w:bCs/>
                <w:color w:val="008576"/>
                <w:sz w:val="80"/>
                <w:szCs w:val="80"/>
              </w:rPr>
            </w:pPr>
            <w:r w:rsidRPr="003908D8">
              <w:rPr>
                <w:rFonts w:cs="Arial"/>
                <w:b/>
                <w:bCs/>
                <w:color w:val="008576"/>
                <w:sz w:val="80"/>
                <w:szCs w:val="80"/>
              </w:rPr>
              <w:t xml:space="preserve">DCP </w:t>
            </w:r>
            <w:r w:rsidR="006F7BB6">
              <w:rPr>
                <w:rFonts w:cs="Arial"/>
                <w:b/>
                <w:bCs/>
                <w:color w:val="008576"/>
                <w:sz w:val="80"/>
                <w:szCs w:val="80"/>
              </w:rPr>
              <w:t>469</w:t>
            </w:r>
          </w:p>
        </w:tc>
        <w:tc>
          <w:tcPr>
            <w:tcW w:w="2422" w:type="dxa"/>
            <w:vMerge w:val="restart"/>
            <w:tcBorders>
              <w:top w:val="single" w:sz="4" w:space="0" w:color="008576"/>
              <w:left w:val="single" w:sz="4" w:space="0" w:color="FFFFFF"/>
              <w:right w:val="single" w:sz="4" w:space="0" w:color="008576"/>
            </w:tcBorders>
            <w:tcMar>
              <w:left w:w="0" w:type="dxa"/>
              <w:right w:w="0" w:type="dxa"/>
            </w:tcMar>
          </w:tcPr>
          <w:tbl>
            <w:tblPr>
              <w:tblStyle w:val="TableGrid"/>
              <w:tblW w:w="2402" w:type="dxa"/>
              <w:tblLook w:val="04A0" w:firstRow="1" w:lastRow="0" w:firstColumn="1" w:lastColumn="0" w:noHBand="0" w:noVBand="1"/>
            </w:tblPr>
            <w:tblGrid>
              <w:gridCol w:w="2402"/>
            </w:tblGrid>
            <w:tr w:rsidR="00354313" w14:paraId="2C33476C" w14:textId="77777777" w:rsidTr="00C962D3">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3DA6345A" w14:textId="34F5F12E" w:rsidR="00354313" w:rsidRPr="009B4657" w:rsidRDefault="00354313" w:rsidP="00F971A0">
                  <w:pPr>
                    <w:rPr>
                      <w:rFonts w:cs="Arial"/>
                      <w:b/>
                      <w:bCs/>
                      <w:color w:val="00B274"/>
                    </w:rPr>
                  </w:pPr>
                  <w:r>
                    <w:rPr>
                      <w:rFonts w:cs="Arial"/>
                      <w:b/>
                      <w:bCs/>
                      <w:color w:val="00B274"/>
                    </w:rPr>
                    <w:t>0</w:t>
                  </w:r>
                  <w:r w:rsidRPr="009B4657">
                    <w:rPr>
                      <w:rFonts w:cs="Arial"/>
                      <w:b/>
                      <w:bCs/>
                      <w:color w:val="00B274"/>
                    </w:rPr>
                    <w:t>1</w:t>
                  </w:r>
                  <w:r>
                    <w:rPr>
                      <w:rFonts w:cs="Arial"/>
                      <w:b/>
                      <w:bCs/>
                      <w:color w:val="00B274"/>
                    </w:rPr>
                    <w:t xml:space="preserve"> -</w:t>
                  </w:r>
                  <w:r w:rsidRPr="009B4657">
                    <w:rPr>
                      <w:rFonts w:cs="Arial"/>
                      <w:b/>
                      <w:bCs/>
                      <w:color w:val="00B274"/>
                    </w:rPr>
                    <w:t xml:space="preserve"> Change Proposal</w:t>
                  </w:r>
                </w:p>
              </w:tc>
            </w:tr>
            <w:tr w:rsidR="00354313" w14:paraId="4CCACCA2" w14:textId="77777777" w:rsidTr="004F126F">
              <w:trPr>
                <w:trHeight w:val="1054"/>
              </w:trPr>
              <w:tc>
                <w:tcPr>
                  <w:tcW w:w="2402" w:type="dxa"/>
                  <w:tcBorders>
                    <w:top w:val="single" w:sz="4" w:space="0" w:color="008576"/>
                    <w:left w:val="single" w:sz="4" w:space="0" w:color="008576"/>
                    <w:bottom w:val="single" w:sz="4" w:space="0" w:color="008576"/>
                    <w:right w:val="single" w:sz="4" w:space="0" w:color="008576"/>
                  </w:tcBorders>
                  <w:shd w:val="clear" w:color="auto" w:fill="0096D7"/>
                  <w:vAlign w:val="center"/>
                </w:tcPr>
                <w:p w14:paraId="4647D532" w14:textId="5A325045" w:rsidR="00354313" w:rsidRPr="009B4657" w:rsidRDefault="00354313" w:rsidP="00F971A0">
                  <w:pPr>
                    <w:rPr>
                      <w:rFonts w:cs="Arial"/>
                      <w:b/>
                      <w:bCs/>
                    </w:rPr>
                  </w:pPr>
                  <w:r>
                    <w:rPr>
                      <w:rFonts w:cs="Arial"/>
                      <w:b/>
                      <w:bCs/>
                      <w:color w:val="FFFFFF" w:themeColor="background1"/>
                    </w:rPr>
                    <w:t>0</w:t>
                  </w:r>
                  <w:r w:rsidRPr="009B4657">
                    <w:rPr>
                      <w:rFonts w:cs="Arial"/>
                      <w:b/>
                      <w:bCs/>
                      <w:color w:val="FFFFFF" w:themeColor="background1"/>
                    </w:rPr>
                    <w:t>2</w:t>
                  </w:r>
                  <w:r>
                    <w:rPr>
                      <w:rFonts w:cs="Arial"/>
                      <w:b/>
                      <w:bCs/>
                      <w:color w:val="FFFFFF" w:themeColor="background1"/>
                    </w:rPr>
                    <w:t xml:space="preserve"> - </w:t>
                  </w:r>
                  <w:r w:rsidRPr="009B4657">
                    <w:rPr>
                      <w:rFonts w:cs="Arial"/>
                      <w:b/>
                      <w:bCs/>
                      <w:color w:val="FFFFFF" w:themeColor="background1"/>
                    </w:rPr>
                    <w:t>Consultation</w:t>
                  </w:r>
                </w:p>
              </w:tc>
            </w:tr>
            <w:tr w:rsidR="00354313" w14:paraId="3464EB04" w14:textId="77777777" w:rsidTr="00C962D3">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1B194B28" w14:textId="573E49BF" w:rsidR="00354313" w:rsidRPr="009B4657" w:rsidRDefault="00354313" w:rsidP="00F971A0">
                  <w:pPr>
                    <w:rPr>
                      <w:rFonts w:cs="Arial"/>
                      <w:b/>
                      <w:bCs/>
                      <w:color w:val="9A4D9E"/>
                    </w:rPr>
                  </w:pPr>
                  <w:r>
                    <w:rPr>
                      <w:rFonts w:cs="Arial"/>
                      <w:b/>
                      <w:bCs/>
                      <w:color w:val="9A4D9E"/>
                    </w:rPr>
                    <w:t>0</w:t>
                  </w:r>
                  <w:r w:rsidRPr="009B4657">
                    <w:rPr>
                      <w:rFonts w:cs="Arial"/>
                      <w:b/>
                      <w:bCs/>
                      <w:color w:val="9A4D9E"/>
                    </w:rPr>
                    <w:t>3</w:t>
                  </w:r>
                  <w:r>
                    <w:rPr>
                      <w:rFonts w:cs="Arial"/>
                      <w:b/>
                      <w:bCs/>
                      <w:color w:val="9A4D9E"/>
                    </w:rPr>
                    <w:t xml:space="preserve"> -</w:t>
                  </w:r>
                  <w:r w:rsidRPr="009B4657">
                    <w:rPr>
                      <w:rFonts w:cs="Arial"/>
                      <w:b/>
                      <w:bCs/>
                      <w:color w:val="9A4D9E"/>
                    </w:rPr>
                    <w:t xml:space="preserve"> Change Report</w:t>
                  </w:r>
                </w:p>
              </w:tc>
            </w:tr>
            <w:tr w:rsidR="00354313" w14:paraId="63812A30" w14:textId="77777777" w:rsidTr="00C962D3">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1E98B5BF" w14:textId="0BA006B2" w:rsidR="00354313" w:rsidRPr="009B4657" w:rsidRDefault="00354313" w:rsidP="00F971A0">
                  <w:pPr>
                    <w:rPr>
                      <w:rFonts w:cs="Arial"/>
                      <w:b/>
                      <w:bCs/>
                      <w:color w:val="F59114"/>
                    </w:rPr>
                  </w:pPr>
                  <w:r>
                    <w:rPr>
                      <w:rFonts w:cs="Arial"/>
                      <w:b/>
                      <w:bCs/>
                      <w:color w:val="F59114"/>
                    </w:rPr>
                    <w:t>0</w:t>
                  </w:r>
                  <w:r w:rsidRPr="009B4657">
                    <w:rPr>
                      <w:rFonts w:cs="Arial"/>
                      <w:b/>
                      <w:bCs/>
                      <w:color w:val="F59114"/>
                    </w:rPr>
                    <w:t>4</w:t>
                  </w:r>
                  <w:r>
                    <w:rPr>
                      <w:rFonts w:cs="Arial"/>
                      <w:b/>
                      <w:bCs/>
                      <w:color w:val="F59114"/>
                    </w:rPr>
                    <w:t xml:space="preserve"> -</w:t>
                  </w:r>
                  <w:r w:rsidRPr="009B4657">
                    <w:rPr>
                      <w:rFonts w:cs="Arial"/>
                      <w:b/>
                      <w:bCs/>
                      <w:color w:val="F59114"/>
                    </w:rPr>
                    <w:t xml:space="preserve"> Change Declaration</w:t>
                  </w:r>
                </w:p>
              </w:tc>
            </w:tr>
          </w:tbl>
          <w:p w14:paraId="79AB9273" w14:textId="3625E215" w:rsidR="00354313" w:rsidRDefault="00354313" w:rsidP="00B90968"/>
        </w:tc>
      </w:tr>
      <w:tr w:rsidR="00354313" w14:paraId="7DC18FD1" w14:textId="1A14B038" w:rsidTr="00AD1AC1">
        <w:trPr>
          <w:trHeight w:val="1938"/>
        </w:trPr>
        <w:tc>
          <w:tcPr>
            <w:tcW w:w="7206" w:type="dxa"/>
            <w:gridSpan w:val="2"/>
            <w:tcBorders>
              <w:top w:val="single" w:sz="4" w:space="0" w:color="FFFFFF" w:themeColor="background1"/>
              <w:left w:val="single" w:sz="4" w:space="0" w:color="008576"/>
              <w:bottom w:val="single" w:sz="4" w:space="0" w:color="FFFFFF" w:themeColor="background1"/>
              <w:right w:val="single" w:sz="4" w:space="0" w:color="FFFFFF"/>
            </w:tcBorders>
          </w:tcPr>
          <w:p w14:paraId="5D84378B" w14:textId="77777777" w:rsidR="006F7BB6" w:rsidRPr="0017730E" w:rsidRDefault="006F7BB6" w:rsidP="006F7BB6">
            <w:pPr>
              <w:ind w:left="113" w:right="113"/>
              <w:rPr>
                <w:rFonts w:cs="Arial"/>
                <w:b/>
                <w:bCs/>
                <w:color w:val="008000"/>
                <w:sz w:val="48"/>
                <w:szCs w:val="48"/>
              </w:rPr>
            </w:pPr>
            <w:r w:rsidRPr="0017730E">
              <w:rPr>
                <w:rFonts w:cs="Arial"/>
                <w:b/>
                <w:bCs/>
                <w:color w:val="008000"/>
                <w:sz w:val="48"/>
                <w:szCs w:val="48"/>
              </w:rPr>
              <w:t>Cross Code Standardisation of Charging Arrangement Notice Periods</w:t>
            </w:r>
          </w:p>
          <w:p w14:paraId="3453C3A3" w14:textId="77777777" w:rsidR="006F7BB6" w:rsidRPr="00615370" w:rsidRDefault="006F7BB6" w:rsidP="006F7BB6">
            <w:pPr>
              <w:tabs>
                <w:tab w:val="center" w:pos="4314"/>
              </w:tabs>
              <w:spacing w:before="40" w:after="80"/>
              <w:ind w:left="113"/>
              <w:rPr>
                <w:rFonts w:cs="Arial"/>
                <w:sz w:val="24"/>
              </w:rPr>
            </w:pPr>
            <w:r w:rsidRPr="00615370">
              <w:rPr>
                <w:rFonts w:cs="Arial"/>
                <w:b/>
                <w:sz w:val="24"/>
              </w:rPr>
              <w:t xml:space="preserve">Date Raised: </w:t>
            </w:r>
            <w:r w:rsidRPr="00615370">
              <w:rPr>
                <w:rStyle w:val="BodyText3Char"/>
                <w:rFonts w:eastAsiaTheme="minorHAnsi" w:cs="Arial"/>
                <w:szCs w:val="24"/>
              </w:rPr>
              <w:t>13/0</w:t>
            </w:r>
            <w:r>
              <w:rPr>
                <w:rStyle w:val="BodyText3Char"/>
                <w:rFonts w:eastAsiaTheme="minorHAnsi" w:cs="Arial"/>
                <w:szCs w:val="24"/>
              </w:rPr>
              <w:t>1</w:t>
            </w:r>
            <w:r w:rsidRPr="00615370">
              <w:rPr>
                <w:rStyle w:val="BodyText3Char"/>
                <w:rFonts w:eastAsiaTheme="minorHAnsi" w:cs="Arial"/>
                <w:szCs w:val="24"/>
              </w:rPr>
              <w:t>/202</w:t>
            </w:r>
            <w:r>
              <w:rPr>
                <w:rStyle w:val="BodyText3Char"/>
                <w:rFonts w:eastAsiaTheme="minorHAnsi" w:cs="Arial"/>
                <w:szCs w:val="24"/>
              </w:rPr>
              <w:t>6</w:t>
            </w:r>
          </w:p>
          <w:p w14:paraId="0C850C86" w14:textId="77777777" w:rsidR="006F7BB6" w:rsidRPr="00615370" w:rsidRDefault="006F7BB6" w:rsidP="006F7BB6">
            <w:pPr>
              <w:spacing w:before="40" w:after="80"/>
              <w:ind w:left="113"/>
              <w:rPr>
                <w:rFonts w:cs="Arial"/>
                <w:sz w:val="24"/>
              </w:rPr>
            </w:pPr>
            <w:r w:rsidRPr="00615370">
              <w:rPr>
                <w:rFonts w:cs="Arial"/>
                <w:b/>
                <w:sz w:val="24"/>
              </w:rPr>
              <w:t xml:space="preserve">Proposer Name: </w:t>
            </w:r>
            <w:r w:rsidRPr="00481968">
              <w:rPr>
                <w:rFonts w:cs="Arial"/>
                <w:sz w:val="24"/>
              </w:rPr>
              <w:t>Chris Ong</w:t>
            </w:r>
            <w:r>
              <w:rPr>
                <w:b/>
              </w:rPr>
              <w:t xml:space="preserve"> </w:t>
            </w:r>
          </w:p>
          <w:p w14:paraId="673E2F05" w14:textId="77777777" w:rsidR="006F7BB6" w:rsidRPr="00615370" w:rsidRDefault="006F7BB6" w:rsidP="006F7BB6">
            <w:pPr>
              <w:spacing w:before="40" w:after="80"/>
              <w:ind w:left="113"/>
              <w:rPr>
                <w:rFonts w:cs="Arial"/>
                <w:b/>
                <w:sz w:val="24"/>
              </w:rPr>
            </w:pPr>
            <w:r w:rsidRPr="00615370">
              <w:rPr>
                <w:rFonts w:cs="Arial"/>
                <w:b/>
                <w:sz w:val="24"/>
              </w:rPr>
              <w:t xml:space="preserve">Company Name: </w:t>
            </w:r>
            <w:r w:rsidRPr="00481968">
              <w:rPr>
                <w:rFonts w:cs="Arial"/>
                <w:bCs/>
                <w:sz w:val="24"/>
              </w:rPr>
              <w:t>Eastern Power Networks</w:t>
            </w:r>
          </w:p>
          <w:p w14:paraId="62554EEC" w14:textId="3718BE93" w:rsidR="00354313" w:rsidRPr="009B4657" w:rsidRDefault="006F7BB6" w:rsidP="006F7BB6">
            <w:pPr>
              <w:rPr>
                <w:rFonts w:cs="Arial"/>
                <w:b/>
                <w:bCs/>
                <w:color w:val="008000"/>
                <w:sz w:val="40"/>
                <w:szCs w:val="40"/>
              </w:rPr>
            </w:pPr>
            <w:r>
              <w:rPr>
                <w:rFonts w:cs="Arial"/>
                <w:b/>
                <w:sz w:val="24"/>
              </w:rPr>
              <w:t xml:space="preserve">  </w:t>
            </w:r>
            <w:r w:rsidRPr="00615370">
              <w:rPr>
                <w:rFonts w:cs="Arial"/>
                <w:b/>
                <w:sz w:val="24"/>
              </w:rPr>
              <w:t xml:space="preserve">Party Category:  </w:t>
            </w:r>
            <w:r w:rsidRPr="00615370">
              <w:rPr>
                <w:rFonts w:cs="Arial"/>
                <w:sz w:val="24"/>
              </w:rPr>
              <w:t>DNO</w:t>
            </w:r>
          </w:p>
        </w:tc>
        <w:tc>
          <w:tcPr>
            <w:tcW w:w="2422" w:type="dxa"/>
            <w:vMerge/>
            <w:tcBorders>
              <w:left w:val="single" w:sz="4" w:space="0" w:color="FFFFFF"/>
              <w:right w:val="single" w:sz="4" w:space="0" w:color="008576"/>
            </w:tcBorders>
            <w:vAlign w:val="center"/>
          </w:tcPr>
          <w:p w14:paraId="26B90307" w14:textId="521C8088" w:rsidR="00354313" w:rsidRDefault="00354313" w:rsidP="004D39F2"/>
        </w:tc>
      </w:tr>
      <w:tr w:rsidR="00E61931" w14:paraId="16D2C65F" w14:textId="77777777" w:rsidTr="007B2ED1">
        <w:trPr>
          <w:trHeight w:val="369"/>
        </w:trPr>
        <w:tc>
          <w:tcPr>
            <w:tcW w:w="9628" w:type="dxa"/>
            <w:gridSpan w:val="3"/>
            <w:tcBorders>
              <w:top w:val="single" w:sz="4" w:space="0" w:color="008576"/>
              <w:left w:val="single" w:sz="4" w:space="0" w:color="008576"/>
              <w:bottom w:val="single" w:sz="4" w:space="0" w:color="FFFFFF"/>
              <w:right w:val="single" w:sz="4" w:space="0" w:color="008576"/>
            </w:tcBorders>
            <w:tcMar>
              <w:top w:w="108" w:type="dxa"/>
            </w:tcMar>
          </w:tcPr>
          <w:p w14:paraId="1F22D85A" w14:textId="6CDADEAF" w:rsidR="00E61931" w:rsidRPr="00460446" w:rsidRDefault="009B4657" w:rsidP="007246AD">
            <w:pPr>
              <w:rPr>
                <w:rFonts w:cs="Arial"/>
                <w:b/>
                <w:bCs/>
              </w:rPr>
            </w:pPr>
            <w:r w:rsidRPr="00460446">
              <w:rPr>
                <w:rFonts w:cs="Arial"/>
                <w:b/>
                <w:bCs/>
              </w:rPr>
              <w:t>Purpose of the Change Proposal</w:t>
            </w:r>
          </w:p>
        </w:tc>
      </w:tr>
      <w:tr w:rsidR="003B74C6" w14:paraId="4CB30922" w14:textId="77777777" w:rsidTr="007B2ED1">
        <w:trPr>
          <w:trHeight w:val="580"/>
        </w:trPr>
        <w:tc>
          <w:tcPr>
            <w:tcW w:w="9628" w:type="dxa"/>
            <w:gridSpan w:val="3"/>
            <w:tcBorders>
              <w:top w:val="single" w:sz="4" w:space="0" w:color="FFFFFF"/>
              <w:left w:val="single" w:sz="4" w:space="0" w:color="008576"/>
              <w:bottom w:val="single" w:sz="4" w:space="0" w:color="008576"/>
              <w:right w:val="single" w:sz="4" w:space="0" w:color="008576"/>
            </w:tcBorders>
            <w:tcMar>
              <w:bottom w:w="108" w:type="dxa"/>
            </w:tcMar>
          </w:tcPr>
          <w:p w14:paraId="73061DD2" w14:textId="49F351BB" w:rsidR="003B74C6" w:rsidRPr="00460446" w:rsidRDefault="008B006D" w:rsidP="007246AD">
            <w:pPr>
              <w:rPr>
                <w:rFonts w:cs="Arial"/>
              </w:rPr>
            </w:pPr>
            <w:sdt>
              <w:sdtPr>
                <w:rPr>
                  <w:rStyle w:val="BodyText3Char"/>
                  <w:rFonts w:eastAsia="MS Gothic"/>
                </w:rPr>
                <w:alias w:val="Purpose of CP"/>
                <w:tag w:val="Purpose of CP"/>
                <w:id w:val="-1012148391"/>
                <w:placeholder>
                  <w:docPart w:val="87702E2E165D4BFEA89D8606E52BC3D1"/>
                </w:placeholder>
              </w:sdtPr>
              <w:sdtEndPr>
                <w:rPr>
                  <w:rStyle w:val="DefaultParagraphFont"/>
                  <w:rFonts w:eastAsiaTheme="minorHAnsi" w:cs="Arial"/>
                  <w:color w:val="000000" w:themeColor="text1"/>
                  <w:kern w:val="2"/>
                  <w:sz w:val="20"/>
                  <w:szCs w:val="22"/>
                  <w:lang w:eastAsia="en-US"/>
                  <w14:ligatures w14:val="standardContextual"/>
                </w:rPr>
              </w:sdtEndPr>
              <w:sdtContent>
                <w:r w:rsidR="006F7BB6" w:rsidRPr="00117592">
                  <w:rPr>
                    <w:rFonts w:ascii="Tahoma" w:eastAsia="MS Gothic" w:hAnsi="Tahoma"/>
                    <w:szCs w:val="16"/>
                  </w:rPr>
                  <w:t>Cross Code standardisation of Charging Arrangement Notice Periods</w:t>
                </w:r>
                <w:r w:rsidR="006F7BB6">
                  <w:rPr>
                    <w:rFonts w:ascii="Tahoma" w:eastAsia="MS Gothic" w:hAnsi="Tahoma"/>
                    <w:szCs w:val="16"/>
                  </w:rPr>
                  <w:t>.</w:t>
                </w:r>
              </w:sdtContent>
            </w:sdt>
          </w:p>
        </w:tc>
      </w:tr>
      <w:tr w:rsidR="00631786" w14:paraId="54E0A0C1" w14:textId="77777777" w:rsidTr="004F126F">
        <w:trPr>
          <w:trHeight w:val="1274"/>
        </w:trPr>
        <w:tc>
          <w:tcPr>
            <w:tcW w:w="846" w:type="dxa"/>
            <w:tcBorders>
              <w:top w:val="single" w:sz="4" w:space="0" w:color="008576"/>
              <w:left w:val="single" w:sz="4" w:space="0" w:color="008576"/>
              <w:bottom w:val="single" w:sz="4" w:space="0" w:color="008576"/>
              <w:right w:val="single" w:sz="4" w:space="0" w:color="008576"/>
            </w:tcBorders>
            <w:vAlign w:val="center"/>
          </w:tcPr>
          <w:p w14:paraId="65A5875E" w14:textId="09FCCDFE" w:rsidR="00631786" w:rsidRPr="00460446" w:rsidRDefault="004F126F" w:rsidP="004F126F">
            <w:pPr>
              <w:jc w:val="center"/>
              <w:rPr>
                <w:rFonts w:cs="Arial"/>
              </w:rPr>
            </w:pPr>
            <w:r w:rsidRPr="00460446">
              <w:rPr>
                <w:rFonts w:cs="Arial"/>
                <w:noProof/>
              </w:rPr>
              <w:drawing>
                <wp:inline distT="0" distB="0" distL="0" distR="0" wp14:anchorId="42773568" wp14:editId="7248B018">
                  <wp:extent cx="396000" cy="396000"/>
                  <wp:effectExtent l="0" t="0" r="4445" b="4445"/>
                  <wp:docPr id="1" name="Picture 3"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2"/>
            <w:tcBorders>
              <w:top w:val="single" w:sz="4" w:space="0" w:color="008576"/>
              <w:left w:val="single" w:sz="4" w:space="0" w:color="008576"/>
              <w:bottom w:val="single" w:sz="4" w:space="0" w:color="008576"/>
              <w:right w:val="single" w:sz="4" w:space="0" w:color="008576"/>
            </w:tcBorders>
            <w:tcMar>
              <w:top w:w="108" w:type="dxa"/>
              <w:bottom w:w="108" w:type="dxa"/>
            </w:tcMar>
          </w:tcPr>
          <w:p w14:paraId="57330494" w14:textId="39B17DA5" w:rsidR="005D0A33" w:rsidRPr="00460446" w:rsidRDefault="005D0A33" w:rsidP="005D0A33">
            <w:pPr>
              <w:rPr>
                <w:rFonts w:cs="Arial"/>
              </w:rPr>
            </w:pPr>
            <w:r w:rsidRPr="00460446">
              <w:rPr>
                <w:rFonts w:cs="Arial"/>
              </w:rPr>
              <w:t xml:space="preserve">This document is a Consultation issued to DCUSA Parties and any other interested parties in accordance with Clause 11.14 of the DCUSA, seeking industry views on this </w:t>
            </w:r>
            <w:r w:rsidR="00835043">
              <w:rPr>
                <w:rFonts w:cs="Arial"/>
              </w:rPr>
              <w:t>CP</w:t>
            </w:r>
            <w:r w:rsidRPr="00460446">
              <w:rPr>
                <w:rFonts w:cs="Arial"/>
              </w:rPr>
              <w:t>.</w:t>
            </w:r>
          </w:p>
          <w:p w14:paraId="55A9EB81" w14:textId="77777777" w:rsidR="005D0A33" w:rsidRPr="00460446" w:rsidRDefault="005D0A33" w:rsidP="005D0A33">
            <w:pPr>
              <w:rPr>
                <w:rFonts w:cs="Arial"/>
              </w:rPr>
            </w:pPr>
          </w:p>
          <w:p w14:paraId="7E2E04A8" w14:textId="75B52ED2" w:rsidR="008D5795" w:rsidRPr="00460446" w:rsidRDefault="008D5795" w:rsidP="005D0A33">
            <w:pPr>
              <w:rPr>
                <w:rFonts w:cs="Arial"/>
              </w:rPr>
            </w:pPr>
            <w:r w:rsidRPr="00460446">
              <w:rPr>
                <w:rFonts w:cs="Arial"/>
              </w:rPr>
              <w:t xml:space="preserve">You </w:t>
            </w:r>
            <w:r w:rsidR="005D0A33" w:rsidRPr="00460446">
              <w:rPr>
                <w:rFonts w:cs="Arial"/>
              </w:rPr>
              <w:t xml:space="preserve">are invited to consider the questions set in section 10 </w:t>
            </w:r>
            <w:r w:rsidRPr="00460446">
              <w:rPr>
                <w:rFonts w:cs="Arial"/>
              </w:rPr>
              <w:t xml:space="preserve">of this Consultation </w:t>
            </w:r>
            <w:r w:rsidR="005D0A33" w:rsidRPr="00460446">
              <w:rPr>
                <w:rFonts w:cs="Arial"/>
              </w:rPr>
              <w:t xml:space="preserve">and submit comments using </w:t>
            </w:r>
            <w:r w:rsidR="006972B3">
              <w:rPr>
                <w:rFonts w:cs="Arial"/>
              </w:rPr>
              <w:t xml:space="preserve">the </w:t>
            </w:r>
            <w:r w:rsidR="005D0A33" w:rsidRPr="00460446">
              <w:rPr>
                <w:rFonts w:cs="Arial"/>
              </w:rPr>
              <w:t>form</w:t>
            </w:r>
            <w:r w:rsidRPr="00460446">
              <w:rPr>
                <w:rFonts w:cs="Arial"/>
              </w:rPr>
              <w:t xml:space="preserve"> provided </w:t>
            </w:r>
            <w:r w:rsidR="005D0A33" w:rsidRPr="00460446">
              <w:rPr>
                <w:rFonts w:cs="Arial"/>
              </w:rPr>
              <w:t xml:space="preserve">to </w:t>
            </w:r>
            <w:hyperlink r:id="rId9" w:history="1">
              <w:r w:rsidRPr="00460446">
                <w:rPr>
                  <w:rStyle w:val="Hyperlink"/>
                  <w:rFonts w:cs="Arial"/>
                </w:rPr>
                <w:t>dcusa@electralink.co.uk</w:t>
              </w:r>
            </w:hyperlink>
            <w:r w:rsidRPr="00460446">
              <w:rPr>
                <w:rFonts w:cs="Arial"/>
              </w:rPr>
              <w:t>.</w:t>
            </w:r>
            <w:r w:rsidR="005D0A33" w:rsidRPr="00460446">
              <w:rPr>
                <w:rFonts w:cs="Arial"/>
              </w:rPr>
              <w:t xml:space="preserve"> </w:t>
            </w:r>
          </w:p>
          <w:p w14:paraId="28C2F79D" w14:textId="77777777" w:rsidR="008D5795" w:rsidRPr="00460446" w:rsidRDefault="008D5795" w:rsidP="005D0A33">
            <w:pPr>
              <w:rPr>
                <w:rFonts w:cs="Arial"/>
              </w:rPr>
            </w:pPr>
          </w:p>
          <w:p w14:paraId="521D9B6E" w14:textId="3E2033F4" w:rsidR="00631786" w:rsidRPr="00460446" w:rsidRDefault="008D5795" w:rsidP="005D0A33">
            <w:pPr>
              <w:rPr>
                <w:rFonts w:cs="Arial"/>
              </w:rPr>
            </w:pPr>
            <w:r w:rsidRPr="00460446">
              <w:rPr>
                <w:rFonts w:cs="Arial"/>
              </w:rPr>
              <w:t xml:space="preserve">The deadline for responses is </w:t>
            </w:r>
            <w:r w:rsidRPr="007B2ED1">
              <w:rPr>
                <w:rFonts w:cs="Arial"/>
                <w:highlight w:val="yellow"/>
              </w:rPr>
              <w:t>[DD MON YYYY]</w:t>
            </w:r>
            <w:r w:rsidRPr="00460446">
              <w:rPr>
                <w:rFonts w:cs="Arial"/>
              </w:rPr>
              <w:t>.</w:t>
            </w:r>
          </w:p>
        </w:tc>
      </w:tr>
      <w:tr w:rsidR="00254E1A" w14:paraId="24DB78D7" w14:textId="77777777" w:rsidTr="007B2ED1">
        <w:trPr>
          <w:trHeight w:val="341"/>
        </w:trPr>
        <w:tc>
          <w:tcPr>
            <w:tcW w:w="846" w:type="dxa"/>
            <w:vMerge w:val="restart"/>
            <w:tcBorders>
              <w:top w:val="single" w:sz="4" w:space="0" w:color="008576"/>
              <w:left w:val="single" w:sz="4" w:space="0" w:color="008576"/>
              <w:right w:val="single" w:sz="4" w:space="0" w:color="008576"/>
            </w:tcBorders>
            <w:vAlign w:val="center"/>
          </w:tcPr>
          <w:p w14:paraId="0D0EBF1E" w14:textId="5BCAD188" w:rsidR="00254E1A" w:rsidRPr="00FD0ACB" w:rsidRDefault="004F126F" w:rsidP="00DC4B21">
            <w:pPr>
              <w:jc w:val="center"/>
            </w:pPr>
            <w:r>
              <w:rPr>
                <w:rFonts w:cs="Arial"/>
                <w:noProof/>
                <w:lang w:val="en-US"/>
              </w:rPr>
              <w:drawing>
                <wp:inline distT="0" distB="0" distL="0" distR="0" wp14:anchorId="0ED53489" wp14:editId="244D355A">
                  <wp:extent cx="396000" cy="396000"/>
                  <wp:effectExtent l="0" t="0" r="4445" b="4445"/>
                  <wp:docPr id="23483512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2"/>
            <w:tcBorders>
              <w:top w:val="single" w:sz="4" w:space="0" w:color="008576"/>
              <w:left w:val="single" w:sz="4" w:space="0" w:color="008576"/>
              <w:bottom w:val="single" w:sz="4" w:space="0" w:color="FFFFFF"/>
              <w:right w:val="single" w:sz="4" w:space="0" w:color="008576"/>
            </w:tcBorders>
            <w:tcMar>
              <w:top w:w="108" w:type="dxa"/>
            </w:tcMar>
          </w:tcPr>
          <w:p w14:paraId="09C6A603" w14:textId="4F375BE2" w:rsidR="00254E1A" w:rsidRPr="00A208F7" w:rsidRDefault="00876F7A" w:rsidP="007246AD">
            <w:pPr>
              <w:rPr>
                <w:rFonts w:cs="Arial"/>
                <w:b/>
                <w:bCs/>
              </w:rPr>
            </w:pPr>
            <w:r w:rsidRPr="00A208F7">
              <w:rPr>
                <w:rFonts w:cs="Arial"/>
                <w:b/>
                <w:bCs/>
              </w:rPr>
              <w:t>Impacted Parties</w:t>
            </w:r>
          </w:p>
        </w:tc>
      </w:tr>
      <w:tr w:rsidR="00254E1A" w14:paraId="67814065" w14:textId="77777777" w:rsidTr="004F126F">
        <w:trPr>
          <w:trHeight w:val="580"/>
        </w:trPr>
        <w:tc>
          <w:tcPr>
            <w:tcW w:w="846" w:type="dxa"/>
            <w:vMerge/>
            <w:tcBorders>
              <w:left w:val="single" w:sz="4" w:space="0" w:color="008576"/>
              <w:bottom w:val="single" w:sz="4" w:space="0" w:color="008576"/>
              <w:right w:val="single" w:sz="4" w:space="0" w:color="008576"/>
            </w:tcBorders>
            <w:vAlign w:val="center"/>
          </w:tcPr>
          <w:p w14:paraId="2B1249A9" w14:textId="77777777" w:rsidR="00254E1A" w:rsidRDefault="00254E1A" w:rsidP="00DC4B21">
            <w:pPr>
              <w:jc w:val="center"/>
              <w:rPr>
                <w:rFonts w:cs="Arial"/>
                <w:noProof/>
                <w:lang w:val="en-US"/>
              </w:rPr>
            </w:pPr>
          </w:p>
        </w:tc>
        <w:tc>
          <w:tcPr>
            <w:tcW w:w="8782" w:type="dxa"/>
            <w:gridSpan w:val="2"/>
            <w:tcBorders>
              <w:top w:val="single" w:sz="4" w:space="0" w:color="FFFFFF"/>
              <w:left w:val="single" w:sz="4" w:space="0" w:color="008576"/>
              <w:bottom w:val="single" w:sz="4" w:space="0" w:color="008576"/>
              <w:right w:val="single" w:sz="4" w:space="0" w:color="008576"/>
            </w:tcBorders>
          </w:tcPr>
          <w:p w14:paraId="77A09BAD" w14:textId="7D6414C6" w:rsidR="00254E1A" w:rsidRPr="00A208F7" w:rsidRDefault="006F7BB6" w:rsidP="007246AD">
            <w:pPr>
              <w:rPr>
                <w:rFonts w:cs="Arial"/>
              </w:rPr>
            </w:pPr>
            <w:r w:rsidRPr="006F7BB6">
              <w:rPr>
                <w:rFonts w:cs="Arial"/>
              </w:rPr>
              <w:t>Suppliers/DNOs/IDNOs/CVA Registrants</w:t>
            </w:r>
          </w:p>
        </w:tc>
      </w:tr>
      <w:tr w:rsidR="00A208F7" w14:paraId="684BAA54" w14:textId="77777777" w:rsidTr="007B2ED1">
        <w:trPr>
          <w:trHeight w:val="397"/>
        </w:trPr>
        <w:tc>
          <w:tcPr>
            <w:tcW w:w="846" w:type="dxa"/>
            <w:vMerge w:val="restart"/>
            <w:tcBorders>
              <w:top w:val="single" w:sz="4" w:space="0" w:color="008576"/>
              <w:left w:val="single" w:sz="4" w:space="0" w:color="008576"/>
              <w:right w:val="single" w:sz="4" w:space="0" w:color="008576"/>
            </w:tcBorders>
            <w:vAlign w:val="center"/>
          </w:tcPr>
          <w:p w14:paraId="16F3ECC4" w14:textId="0AE2127B" w:rsidR="00A208F7" w:rsidRPr="00FD0ACB" w:rsidRDefault="004F126F" w:rsidP="00696638">
            <w:pPr>
              <w:jc w:val="center"/>
            </w:pPr>
            <w:r>
              <w:rPr>
                <w:rFonts w:cs="Arial"/>
                <w:noProof/>
                <w:lang w:val="en-US"/>
              </w:rPr>
              <w:drawing>
                <wp:inline distT="0" distB="0" distL="0" distR="0" wp14:anchorId="1DEB9ED3" wp14:editId="7338C995">
                  <wp:extent cx="396000" cy="396000"/>
                  <wp:effectExtent l="0" t="0" r="4445" b="4445"/>
                  <wp:docPr id="3" name="Picture 2"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2"/>
            <w:tcBorders>
              <w:top w:val="single" w:sz="4" w:space="0" w:color="008576"/>
              <w:left w:val="single" w:sz="4" w:space="0" w:color="008576"/>
              <w:bottom w:val="single" w:sz="4" w:space="0" w:color="FFFFFF"/>
              <w:right w:val="single" w:sz="4" w:space="0" w:color="008576"/>
            </w:tcBorders>
            <w:tcMar>
              <w:top w:w="108" w:type="dxa"/>
            </w:tcMar>
          </w:tcPr>
          <w:p w14:paraId="26CED846" w14:textId="611F7F0D" w:rsidR="00A208F7" w:rsidRPr="004143E3" w:rsidRDefault="00A208F7" w:rsidP="007246AD">
            <w:pPr>
              <w:rPr>
                <w:rFonts w:cs="Arial"/>
                <w:b/>
                <w:bCs/>
              </w:rPr>
            </w:pPr>
            <w:r w:rsidRPr="004143E3">
              <w:rPr>
                <w:rFonts w:cs="Arial"/>
                <w:b/>
                <w:bCs/>
              </w:rPr>
              <w:t xml:space="preserve">Impacted </w:t>
            </w:r>
            <w:r w:rsidR="004143E3" w:rsidRPr="004143E3">
              <w:rPr>
                <w:rFonts w:cs="Arial"/>
                <w:b/>
                <w:bCs/>
              </w:rPr>
              <w:t>Clauses</w:t>
            </w:r>
          </w:p>
        </w:tc>
      </w:tr>
      <w:tr w:rsidR="00A208F7" w14:paraId="61AC51B2" w14:textId="77777777" w:rsidTr="007B2ED1">
        <w:trPr>
          <w:trHeight w:val="580"/>
        </w:trPr>
        <w:tc>
          <w:tcPr>
            <w:tcW w:w="846" w:type="dxa"/>
            <w:vMerge/>
            <w:tcBorders>
              <w:left w:val="single" w:sz="4" w:space="0" w:color="008576"/>
              <w:bottom w:val="single" w:sz="4" w:space="0" w:color="008576"/>
              <w:right w:val="single" w:sz="4" w:space="0" w:color="008576"/>
            </w:tcBorders>
            <w:vAlign w:val="center"/>
          </w:tcPr>
          <w:p w14:paraId="1DBFE94B" w14:textId="77777777" w:rsidR="00A208F7" w:rsidRDefault="00A208F7" w:rsidP="00696638">
            <w:pPr>
              <w:jc w:val="center"/>
              <w:rPr>
                <w:rFonts w:cs="Arial"/>
                <w:noProof/>
                <w:lang w:val="en-US"/>
              </w:rPr>
            </w:pPr>
          </w:p>
        </w:tc>
        <w:tc>
          <w:tcPr>
            <w:tcW w:w="8782" w:type="dxa"/>
            <w:gridSpan w:val="2"/>
            <w:tcBorders>
              <w:top w:val="single" w:sz="4" w:space="0" w:color="FFFFFF"/>
              <w:left w:val="single" w:sz="4" w:space="0" w:color="008576"/>
              <w:bottom w:val="single" w:sz="4" w:space="0" w:color="008576"/>
              <w:right w:val="single" w:sz="4" w:space="0" w:color="008576"/>
            </w:tcBorders>
          </w:tcPr>
          <w:p w14:paraId="66659259" w14:textId="79D2960B" w:rsidR="00A208F7" w:rsidRPr="004143E3" w:rsidRDefault="006F7BB6" w:rsidP="007246AD">
            <w:pPr>
              <w:rPr>
                <w:rFonts w:cs="Arial"/>
              </w:rPr>
            </w:pPr>
            <w:r w:rsidRPr="006F7BB6">
              <w:rPr>
                <w:rFonts w:cs="Arial"/>
              </w:rPr>
              <w:t>Clause 19.1A in Section 2A</w:t>
            </w:r>
          </w:p>
        </w:tc>
      </w:tr>
    </w:tbl>
    <w:p w14:paraId="5D21232F" w14:textId="59478D31" w:rsidR="004B0ED6" w:rsidRDefault="004B0ED6"/>
    <w:p w14:paraId="2900822B" w14:textId="77777777" w:rsidR="004B0ED6" w:rsidRDefault="004B0ED6">
      <w:r>
        <w:br w:type="page"/>
      </w:r>
    </w:p>
    <w:tbl>
      <w:tblPr>
        <w:tblStyle w:val="TableGrid"/>
        <w:tblW w:w="0" w:type="auto"/>
        <w:tblLayout w:type="fixed"/>
        <w:tblCellMar>
          <w:top w:w="57" w:type="dxa"/>
          <w:bottom w:w="57" w:type="dxa"/>
        </w:tblCellMar>
        <w:tblLook w:val="04A0" w:firstRow="1" w:lastRow="0" w:firstColumn="1" w:lastColumn="0" w:noHBand="0" w:noVBand="1"/>
      </w:tblPr>
      <w:tblGrid>
        <w:gridCol w:w="6516"/>
        <w:gridCol w:w="3112"/>
      </w:tblGrid>
      <w:tr w:rsidR="00422A1E" w14:paraId="666FF339" w14:textId="77777777" w:rsidTr="004F126F">
        <w:trPr>
          <w:trHeight w:val="282"/>
        </w:trPr>
        <w:tc>
          <w:tcPr>
            <w:tcW w:w="6516" w:type="dxa"/>
            <w:tcBorders>
              <w:top w:val="single" w:sz="4" w:space="0" w:color="008576"/>
              <w:left w:val="single" w:sz="4" w:space="0" w:color="008576"/>
              <w:bottom w:val="single" w:sz="4" w:space="0" w:color="008576"/>
              <w:right w:val="single" w:sz="4" w:space="0" w:color="008576"/>
            </w:tcBorders>
            <w:shd w:val="clear" w:color="auto" w:fill="0096D7"/>
            <w:tcMar>
              <w:top w:w="108" w:type="dxa"/>
              <w:bottom w:w="108" w:type="dxa"/>
            </w:tcMar>
          </w:tcPr>
          <w:p w14:paraId="25ABCC58" w14:textId="470E0D26" w:rsidR="00422A1E" w:rsidRPr="005A7542" w:rsidRDefault="00422A1E">
            <w:pPr>
              <w:rPr>
                <w:rFonts w:cs="Arial"/>
                <w:b/>
                <w:bCs/>
                <w:sz w:val="28"/>
                <w:szCs w:val="28"/>
              </w:rPr>
            </w:pPr>
            <w:r w:rsidRPr="005A7542">
              <w:rPr>
                <w:rFonts w:cs="Arial"/>
                <w:b/>
                <w:bCs/>
                <w:color w:val="FFFFFF" w:themeColor="background1"/>
                <w:sz w:val="28"/>
                <w:szCs w:val="28"/>
              </w:rPr>
              <w:lastRenderedPageBreak/>
              <w:t>Contents</w:t>
            </w:r>
          </w:p>
        </w:tc>
        <w:tc>
          <w:tcPr>
            <w:tcW w:w="3112" w:type="dxa"/>
            <w:tcBorders>
              <w:top w:val="single" w:sz="4" w:space="0" w:color="008576"/>
              <w:left w:val="single" w:sz="4" w:space="0" w:color="008576"/>
              <w:bottom w:val="single" w:sz="4" w:space="0" w:color="008576"/>
              <w:right w:val="single" w:sz="4" w:space="0" w:color="008576"/>
            </w:tcBorders>
            <w:tcMar>
              <w:left w:w="0" w:type="dxa"/>
              <w:right w:w="0" w:type="dxa"/>
            </w:tcMar>
          </w:tcPr>
          <w:p w14:paraId="73001D46" w14:textId="3C4CC976" w:rsidR="00422A1E" w:rsidRPr="006A16BB" w:rsidRDefault="006A16BB" w:rsidP="00C60A83">
            <w:pPr>
              <w:ind w:left="108"/>
              <w:rPr>
                <w:b/>
                <w:bCs/>
                <w:color w:val="008576"/>
                <w:sz w:val="28"/>
                <w:szCs w:val="28"/>
              </w:rPr>
            </w:pPr>
            <w:r w:rsidRPr="006A16BB">
              <w:rPr>
                <w:rFonts w:cs="Arial"/>
                <w:b/>
                <w:bCs/>
                <w:noProof/>
                <w:sz w:val="28"/>
                <w:szCs w:val="28"/>
                <w:lang w:val="en-US"/>
              </w:rPr>
              <w:drawing>
                <wp:inline distT="0" distB="0" distL="0" distR="0" wp14:anchorId="68D982C4" wp14:editId="7B7A7D4E">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691664" w:rsidRPr="006A16BB">
              <w:rPr>
                <w:b/>
                <w:bCs/>
                <w:color w:val="008576"/>
                <w:sz w:val="28"/>
                <w:szCs w:val="28"/>
              </w:rPr>
              <w:t>Any Questions?</w:t>
            </w:r>
          </w:p>
        </w:tc>
      </w:tr>
      <w:tr w:rsidR="00E019B3" w14:paraId="1D3D6D40" w14:textId="77777777" w:rsidTr="004F126F">
        <w:trPr>
          <w:trHeight w:val="410"/>
        </w:trPr>
        <w:tc>
          <w:tcPr>
            <w:tcW w:w="6516" w:type="dxa"/>
            <w:vMerge w:val="restart"/>
            <w:tcBorders>
              <w:top w:val="single" w:sz="4" w:space="0" w:color="008576"/>
              <w:left w:val="single" w:sz="4" w:space="0" w:color="008576"/>
              <w:right w:val="single" w:sz="4" w:space="0" w:color="008576"/>
            </w:tcBorders>
          </w:tcPr>
          <w:p w14:paraId="73F7D921" w14:textId="11237E83" w:rsidR="00A61E20" w:rsidRDefault="00CA338E">
            <w:pPr>
              <w:pStyle w:val="TOC1"/>
              <w:rPr>
                <w:rFonts w:asciiTheme="minorHAnsi" w:eastAsiaTheme="minorEastAsia" w:hAnsiTheme="minorHAnsi"/>
                <w:b w:val="0"/>
                <w:noProof/>
                <w:color w:val="auto"/>
                <w:szCs w:val="24"/>
                <w:lang w:eastAsia="en-GB"/>
              </w:rPr>
            </w:pPr>
            <w:r>
              <w:fldChar w:fldCharType="begin"/>
            </w:r>
            <w:r>
              <w:instrText xml:space="preserve"> TOC \o "1-1" \u </w:instrText>
            </w:r>
            <w:r>
              <w:fldChar w:fldCharType="separate"/>
            </w:r>
            <w:r w:rsidR="00A61E20">
              <w:rPr>
                <w:noProof/>
              </w:rPr>
              <w:t>1</w:t>
            </w:r>
            <w:r w:rsidR="00A61E20">
              <w:rPr>
                <w:rFonts w:asciiTheme="minorHAnsi" w:eastAsiaTheme="minorEastAsia" w:hAnsiTheme="minorHAnsi"/>
                <w:b w:val="0"/>
                <w:noProof/>
                <w:color w:val="auto"/>
                <w:szCs w:val="24"/>
                <w:lang w:eastAsia="en-GB"/>
              </w:rPr>
              <w:tab/>
            </w:r>
            <w:r w:rsidR="00A61E20">
              <w:rPr>
                <w:noProof/>
              </w:rPr>
              <w:t>Summary</w:t>
            </w:r>
            <w:r w:rsidR="00A61E20">
              <w:rPr>
                <w:noProof/>
              </w:rPr>
              <w:tab/>
            </w:r>
            <w:r w:rsidR="00A61E20">
              <w:rPr>
                <w:noProof/>
              </w:rPr>
              <w:fldChar w:fldCharType="begin"/>
            </w:r>
            <w:r w:rsidR="00A61E20">
              <w:rPr>
                <w:noProof/>
              </w:rPr>
              <w:instrText xml:space="preserve"> PAGEREF _Toc235433067 \h </w:instrText>
            </w:r>
            <w:r w:rsidR="00A61E20">
              <w:rPr>
                <w:noProof/>
              </w:rPr>
            </w:r>
            <w:r w:rsidR="00A61E20">
              <w:rPr>
                <w:noProof/>
              </w:rPr>
              <w:fldChar w:fldCharType="separate"/>
            </w:r>
            <w:r w:rsidR="00A61E20">
              <w:rPr>
                <w:noProof/>
              </w:rPr>
              <w:t>3</w:t>
            </w:r>
            <w:r w:rsidR="00A61E20">
              <w:rPr>
                <w:noProof/>
              </w:rPr>
              <w:fldChar w:fldCharType="end"/>
            </w:r>
          </w:p>
          <w:p w14:paraId="0651C4F3" w14:textId="6E755FA7" w:rsidR="00A61E20" w:rsidRDefault="00A61E20">
            <w:pPr>
              <w:pStyle w:val="TOC1"/>
              <w:rPr>
                <w:rFonts w:asciiTheme="minorHAnsi" w:eastAsiaTheme="minorEastAsia" w:hAnsiTheme="minorHAnsi"/>
                <w:b w:val="0"/>
                <w:noProof/>
                <w:color w:val="auto"/>
                <w:szCs w:val="24"/>
                <w:lang w:eastAsia="en-GB"/>
              </w:rPr>
            </w:pPr>
            <w:r>
              <w:rPr>
                <w:noProof/>
              </w:rPr>
              <w:t>2</w:t>
            </w:r>
            <w:r>
              <w:rPr>
                <w:rFonts w:asciiTheme="minorHAnsi" w:eastAsiaTheme="minorEastAsia" w:hAnsiTheme="minorHAnsi"/>
                <w:b w:val="0"/>
                <w:noProof/>
                <w:color w:val="auto"/>
                <w:szCs w:val="24"/>
                <w:lang w:eastAsia="en-GB"/>
              </w:rPr>
              <w:tab/>
            </w:r>
            <w:r>
              <w:rPr>
                <w:noProof/>
              </w:rPr>
              <w:t>Governance</w:t>
            </w:r>
            <w:r>
              <w:rPr>
                <w:noProof/>
              </w:rPr>
              <w:tab/>
            </w:r>
            <w:r>
              <w:rPr>
                <w:noProof/>
              </w:rPr>
              <w:fldChar w:fldCharType="begin"/>
            </w:r>
            <w:r>
              <w:rPr>
                <w:noProof/>
              </w:rPr>
              <w:instrText xml:space="preserve"> PAGEREF _Toc235433068 \h </w:instrText>
            </w:r>
            <w:r>
              <w:rPr>
                <w:noProof/>
              </w:rPr>
            </w:r>
            <w:r>
              <w:rPr>
                <w:noProof/>
              </w:rPr>
              <w:fldChar w:fldCharType="separate"/>
            </w:r>
            <w:r>
              <w:rPr>
                <w:noProof/>
              </w:rPr>
              <w:t>3</w:t>
            </w:r>
            <w:r>
              <w:rPr>
                <w:noProof/>
              </w:rPr>
              <w:fldChar w:fldCharType="end"/>
            </w:r>
          </w:p>
          <w:p w14:paraId="09FD4F5C" w14:textId="5F5AFFB0" w:rsidR="00A61E20" w:rsidRDefault="00A61E20">
            <w:pPr>
              <w:pStyle w:val="TOC1"/>
              <w:rPr>
                <w:rFonts w:asciiTheme="minorHAnsi" w:eastAsiaTheme="minorEastAsia" w:hAnsiTheme="minorHAnsi"/>
                <w:b w:val="0"/>
                <w:noProof/>
                <w:color w:val="auto"/>
                <w:szCs w:val="24"/>
                <w:lang w:eastAsia="en-GB"/>
              </w:rPr>
            </w:pPr>
            <w:r>
              <w:rPr>
                <w:noProof/>
              </w:rPr>
              <w:t>3</w:t>
            </w:r>
            <w:r>
              <w:rPr>
                <w:rFonts w:asciiTheme="minorHAnsi" w:eastAsiaTheme="minorEastAsia" w:hAnsiTheme="minorHAnsi"/>
                <w:b w:val="0"/>
                <w:noProof/>
                <w:color w:val="auto"/>
                <w:szCs w:val="24"/>
                <w:lang w:eastAsia="en-GB"/>
              </w:rPr>
              <w:tab/>
            </w:r>
            <w:r>
              <w:rPr>
                <w:noProof/>
              </w:rPr>
              <w:t>DCP 469 Request for Information</w:t>
            </w:r>
            <w:r>
              <w:rPr>
                <w:noProof/>
              </w:rPr>
              <w:tab/>
            </w:r>
            <w:r>
              <w:rPr>
                <w:noProof/>
              </w:rPr>
              <w:fldChar w:fldCharType="begin"/>
            </w:r>
            <w:r>
              <w:rPr>
                <w:noProof/>
              </w:rPr>
              <w:instrText xml:space="preserve"> PAGEREF _Toc235433069 \h </w:instrText>
            </w:r>
            <w:r>
              <w:rPr>
                <w:noProof/>
              </w:rPr>
            </w:r>
            <w:r>
              <w:rPr>
                <w:noProof/>
              </w:rPr>
              <w:fldChar w:fldCharType="separate"/>
            </w:r>
            <w:r>
              <w:rPr>
                <w:noProof/>
              </w:rPr>
              <w:t>3</w:t>
            </w:r>
            <w:r>
              <w:rPr>
                <w:noProof/>
              </w:rPr>
              <w:fldChar w:fldCharType="end"/>
            </w:r>
          </w:p>
          <w:p w14:paraId="55DA2EEC" w14:textId="1B2D9218" w:rsidR="00A61E20" w:rsidRDefault="00A61E20">
            <w:pPr>
              <w:pStyle w:val="TOC1"/>
              <w:rPr>
                <w:rFonts w:asciiTheme="minorHAnsi" w:eastAsiaTheme="minorEastAsia" w:hAnsiTheme="minorHAnsi"/>
                <w:b w:val="0"/>
                <w:noProof/>
                <w:color w:val="auto"/>
                <w:szCs w:val="24"/>
                <w:lang w:eastAsia="en-GB"/>
              </w:rPr>
            </w:pPr>
            <w:r>
              <w:rPr>
                <w:noProof/>
              </w:rPr>
              <w:t>4</w:t>
            </w:r>
            <w:r>
              <w:rPr>
                <w:rFonts w:asciiTheme="minorHAnsi" w:eastAsiaTheme="minorEastAsia" w:hAnsiTheme="minorHAnsi"/>
                <w:b w:val="0"/>
                <w:noProof/>
                <w:color w:val="auto"/>
                <w:szCs w:val="24"/>
                <w:lang w:eastAsia="en-GB"/>
              </w:rPr>
              <w:tab/>
            </w:r>
            <w:r>
              <w:rPr>
                <w:noProof/>
              </w:rPr>
              <w:t>Post RFI Working Group Activity</w:t>
            </w:r>
            <w:r>
              <w:rPr>
                <w:noProof/>
              </w:rPr>
              <w:tab/>
            </w:r>
            <w:r>
              <w:rPr>
                <w:noProof/>
              </w:rPr>
              <w:fldChar w:fldCharType="begin"/>
            </w:r>
            <w:r>
              <w:rPr>
                <w:noProof/>
              </w:rPr>
              <w:instrText xml:space="preserve"> PAGEREF _Toc235433070 \h </w:instrText>
            </w:r>
            <w:r>
              <w:rPr>
                <w:noProof/>
              </w:rPr>
            </w:r>
            <w:r>
              <w:rPr>
                <w:noProof/>
              </w:rPr>
              <w:fldChar w:fldCharType="separate"/>
            </w:r>
            <w:r>
              <w:rPr>
                <w:noProof/>
              </w:rPr>
              <w:t>4</w:t>
            </w:r>
            <w:r>
              <w:rPr>
                <w:noProof/>
              </w:rPr>
              <w:fldChar w:fldCharType="end"/>
            </w:r>
          </w:p>
          <w:p w14:paraId="2E46FDE9" w14:textId="45D96253" w:rsidR="00A61E20" w:rsidRDefault="00A61E20">
            <w:pPr>
              <w:pStyle w:val="TOC1"/>
              <w:rPr>
                <w:rFonts w:asciiTheme="minorHAnsi" w:eastAsiaTheme="minorEastAsia" w:hAnsiTheme="minorHAnsi"/>
                <w:b w:val="0"/>
                <w:noProof/>
                <w:color w:val="auto"/>
                <w:szCs w:val="24"/>
                <w:lang w:eastAsia="en-GB"/>
              </w:rPr>
            </w:pPr>
            <w:r>
              <w:rPr>
                <w:noProof/>
              </w:rPr>
              <w:t>5</w:t>
            </w:r>
            <w:r>
              <w:rPr>
                <w:rFonts w:asciiTheme="minorHAnsi" w:eastAsiaTheme="minorEastAsia" w:hAnsiTheme="minorHAnsi"/>
                <w:b w:val="0"/>
                <w:noProof/>
                <w:color w:val="auto"/>
                <w:szCs w:val="24"/>
                <w:lang w:eastAsia="en-GB"/>
              </w:rPr>
              <w:tab/>
            </w:r>
            <w:r>
              <w:rPr>
                <w:noProof/>
              </w:rPr>
              <w:t>Assessment Against the DCUSA Objectives</w:t>
            </w:r>
            <w:r>
              <w:rPr>
                <w:noProof/>
              </w:rPr>
              <w:tab/>
            </w:r>
            <w:r>
              <w:rPr>
                <w:noProof/>
              </w:rPr>
              <w:fldChar w:fldCharType="begin"/>
            </w:r>
            <w:r>
              <w:rPr>
                <w:noProof/>
              </w:rPr>
              <w:instrText xml:space="preserve"> PAGEREF _Toc235433071 \h </w:instrText>
            </w:r>
            <w:r>
              <w:rPr>
                <w:noProof/>
              </w:rPr>
            </w:r>
            <w:r>
              <w:rPr>
                <w:noProof/>
              </w:rPr>
              <w:fldChar w:fldCharType="separate"/>
            </w:r>
            <w:r>
              <w:rPr>
                <w:noProof/>
              </w:rPr>
              <w:t>11</w:t>
            </w:r>
            <w:r>
              <w:rPr>
                <w:noProof/>
              </w:rPr>
              <w:fldChar w:fldCharType="end"/>
            </w:r>
          </w:p>
          <w:p w14:paraId="748795E1" w14:textId="29B5DCA0" w:rsidR="00A61E20" w:rsidRDefault="00A61E20">
            <w:pPr>
              <w:pStyle w:val="TOC1"/>
              <w:rPr>
                <w:rFonts w:asciiTheme="minorHAnsi" w:eastAsiaTheme="minorEastAsia" w:hAnsiTheme="minorHAnsi"/>
                <w:b w:val="0"/>
                <w:noProof/>
                <w:color w:val="auto"/>
                <w:szCs w:val="24"/>
                <w:lang w:eastAsia="en-GB"/>
              </w:rPr>
            </w:pPr>
            <w:r>
              <w:rPr>
                <w:noProof/>
              </w:rPr>
              <w:t>6</w:t>
            </w:r>
            <w:r>
              <w:rPr>
                <w:rFonts w:asciiTheme="minorHAnsi" w:eastAsiaTheme="minorEastAsia" w:hAnsiTheme="minorHAnsi"/>
                <w:b w:val="0"/>
                <w:noProof/>
                <w:color w:val="auto"/>
                <w:szCs w:val="24"/>
                <w:lang w:eastAsia="en-GB"/>
              </w:rPr>
              <w:tab/>
            </w:r>
            <w:r>
              <w:rPr>
                <w:noProof/>
              </w:rPr>
              <w:t>Impacts &amp; Other Considerations</w:t>
            </w:r>
            <w:r>
              <w:rPr>
                <w:noProof/>
              </w:rPr>
              <w:tab/>
            </w:r>
            <w:r>
              <w:rPr>
                <w:noProof/>
              </w:rPr>
              <w:fldChar w:fldCharType="begin"/>
            </w:r>
            <w:r>
              <w:rPr>
                <w:noProof/>
              </w:rPr>
              <w:instrText xml:space="preserve"> PAGEREF _Toc235433072 \h </w:instrText>
            </w:r>
            <w:r>
              <w:rPr>
                <w:noProof/>
              </w:rPr>
            </w:r>
            <w:r>
              <w:rPr>
                <w:noProof/>
              </w:rPr>
              <w:fldChar w:fldCharType="separate"/>
            </w:r>
            <w:r>
              <w:rPr>
                <w:noProof/>
              </w:rPr>
              <w:t>12</w:t>
            </w:r>
            <w:r>
              <w:rPr>
                <w:noProof/>
              </w:rPr>
              <w:fldChar w:fldCharType="end"/>
            </w:r>
          </w:p>
          <w:p w14:paraId="108DC876" w14:textId="1303BBF8" w:rsidR="00A61E20" w:rsidRDefault="00A61E20">
            <w:pPr>
              <w:pStyle w:val="TOC1"/>
              <w:rPr>
                <w:rFonts w:asciiTheme="minorHAnsi" w:eastAsiaTheme="minorEastAsia" w:hAnsiTheme="minorHAnsi"/>
                <w:b w:val="0"/>
                <w:noProof/>
                <w:color w:val="auto"/>
                <w:szCs w:val="24"/>
                <w:lang w:eastAsia="en-GB"/>
              </w:rPr>
            </w:pPr>
            <w:r>
              <w:rPr>
                <w:noProof/>
              </w:rPr>
              <w:t>7</w:t>
            </w:r>
            <w:r>
              <w:rPr>
                <w:rFonts w:asciiTheme="minorHAnsi" w:eastAsiaTheme="minorEastAsia" w:hAnsiTheme="minorHAnsi"/>
                <w:b w:val="0"/>
                <w:noProof/>
                <w:color w:val="auto"/>
                <w:szCs w:val="24"/>
                <w:lang w:eastAsia="en-GB"/>
              </w:rPr>
              <w:tab/>
            </w:r>
            <w:r>
              <w:rPr>
                <w:noProof/>
              </w:rPr>
              <w:t>Implementation</w:t>
            </w:r>
            <w:r>
              <w:rPr>
                <w:noProof/>
              </w:rPr>
              <w:tab/>
            </w:r>
            <w:r>
              <w:rPr>
                <w:noProof/>
              </w:rPr>
              <w:fldChar w:fldCharType="begin"/>
            </w:r>
            <w:r>
              <w:rPr>
                <w:noProof/>
              </w:rPr>
              <w:instrText xml:space="preserve"> PAGEREF _Toc235433073 \h </w:instrText>
            </w:r>
            <w:r>
              <w:rPr>
                <w:noProof/>
              </w:rPr>
            </w:r>
            <w:r>
              <w:rPr>
                <w:noProof/>
              </w:rPr>
              <w:fldChar w:fldCharType="separate"/>
            </w:r>
            <w:r>
              <w:rPr>
                <w:noProof/>
              </w:rPr>
              <w:t>12</w:t>
            </w:r>
            <w:r>
              <w:rPr>
                <w:noProof/>
              </w:rPr>
              <w:fldChar w:fldCharType="end"/>
            </w:r>
          </w:p>
          <w:p w14:paraId="2A5003C0" w14:textId="1A15CBAB" w:rsidR="00A61E20" w:rsidRDefault="00A61E20">
            <w:pPr>
              <w:pStyle w:val="TOC1"/>
              <w:rPr>
                <w:rFonts w:asciiTheme="minorHAnsi" w:eastAsiaTheme="minorEastAsia" w:hAnsiTheme="minorHAnsi"/>
                <w:b w:val="0"/>
                <w:noProof/>
                <w:color w:val="auto"/>
                <w:szCs w:val="24"/>
                <w:lang w:eastAsia="en-GB"/>
              </w:rPr>
            </w:pPr>
            <w:r>
              <w:rPr>
                <w:noProof/>
              </w:rPr>
              <w:t>8</w:t>
            </w:r>
            <w:r>
              <w:rPr>
                <w:rFonts w:asciiTheme="minorHAnsi" w:eastAsiaTheme="minorEastAsia" w:hAnsiTheme="minorHAnsi"/>
                <w:b w:val="0"/>
                <w:noProof/>
                <w:color w:val="auto"/>
                <w:szCs w:val="24"/>
                <w:lang w:eastAsia="en-GB"/>
              </w:rPr>
              <w:tab/>
            </w:r>
            <w:r>
              <w:rPr>
                <w:noProof/>
              </w:rPr>
              <w:t>Legal Text</w:t>
            </w:r>
            <w:r>
              <w:rPr>
                <w:noProof/>
              </w:rPr>
              <w:tab/>
            </w:r>
            <w:r>
              <w:rPr>
                <w:noProof/>
              </w:rPr>
              <w:fldChar w:fldCharType="begin"/>
            </w:r>
            <w:r>
              <w:rPr>
                <w:noProof/>
              </w:rPr>
              <w:instrText xml:space="preserve"> PAGEREF _Toc235433074 \h </w:instrText>
            </w:r>
            <w:r>
              <w:rPr>
                <w:noProof/>
              </w:rPr>
            </w:r>
            <w:r>
              <w:rPr>
                <w:noProof/>
              </w:rPr>
              <w:fldChar w:fldCharType="separate"/>
            </w:r>
            <w:r>
              <w:rPr>
                <w:noProof/>
              </w:rPr>
              <w:t>12</w:t>
            </w:r>
            <w:r>
              <w:rPr>
                <w:noProof/>
              </w:rPr>
              <w:fldChar w:fldCharType="end"/>
            </w:r>
          </w:p>
          <w:p w14:paraId="5AACAF05" w14:textId="2EA83167" w:rsidR="00A61E20" w:rsidRDefault="00A61E20">
            <w:pPr>
              <w:pStyle w:val="TOC1"/>
              <w:rPr>
                <w:rFonts w:asciiTheme="minorHAnsi" w:eastAsiaTheme="minorEastAsia" w:hAnsiTheme="minorHAnsi"/>
                <w:b w:val="0"/>
                <w:noProof/>
                <w:color w:val="auto"/>
                <w:szCs w:val="24"/>
                <w:lang w:eastAsia="en-GB"/>
              </w:rPr>
            </w:pPr>
            <w:r>
              <w:rPr>
                <w:noProof/>
              </w:rPr>
              <w:t>9</w:t>
            </w:r>
            <w:r>
              <w:rPr>
                <w:rFonts w:asciiTheme="minorHAnsi" w:eastAsiaTheme="minorEastAsia" w:hAnsiTheme="minorHAnsi"/>
                <w:b w:val="0"/>
                <w:noProof/>
                <w:color w:val="auto"/>
                <w:szCs w:val="24"/>
                <w:lang w:eastAsia="en-GB"/>
              </w:rPr>
              <w:tab/>
            </w:r>
            <w:r>
              <w:rPr>
                <w:noProof/>
              </w:rPr>
              <w:t>Consultation Questions</w:t>
            </w:r>
            <w:r>
              <w:rPr>
                <w:noProof/>
              </w:rPr>
              <w:tab/>
            </w:r>
            <w:r>
              <w:rPr>
                <w:noProof/>
              </w:rPr>
              <w:fldChar w:fldCharType="begin"/>
            </w:r>
            <w:r>
              <w:rPr>
                <w:noProof/>
              </w:rPr>
              <w:instrText xml:space="preserve"> PAGEREF _Toc235433075 \h </w:instrText>
            </w:r>
            <w:r>
              <w:rPr>
                <w:noProof/>
              </w:rPr>
            </w:r>
            <w:r>
              <w:rPr>
                <w:noProof/>
              </w:rPr>
              <w:fldChar w:fldCharType="separate"/>
            </w:r>
            <w:r>
              <w:rPr>
                <w:noProof/>
              </w:rPr>
              <w:t>12</w:t>
            </w:r>
            <w:r>
              <w:rPr>
                <w:noProof/>
              </w:rPr>
              <w:fldChar w:fldCharType="end"/>
            </w:r>
          </w:p>
          <w:p w14:paraId="2DC33D97" w14:textId="030763D1" w:rsidR="00A61E20" w:rsidRDefault="00A61E20">
            <w:pPr>
              <w:pStyle w:val="TOC1"/>
              <w:rPr>
                <w:rFonts w:asciiTheme="minorHAnsi" w:eastAsiaTheme="minorEastAsia" w:hAnsiTheme="minorHAnsi"/>
                <w:b w:val="0"/>
                <w:noProof/>
                <w:color w:val="auto"/>
                <w:szCs w:val="24"/>
                <w:lang w:eastAsia="en-GB"/>
              </w:rPr>
            </w:pPr>
            <w:r>
              <w:rPr>
                <w:noProof/>
              </w:rPr>
              <w:t>10</w:t>
            </w:r>
            <w:r>
              <w:rPr>
                <w:rFonts w:asciiTheme="minorHAnsi" w:eastAsiaTheme="minorEastAsia" w:hAnsiTheme="minorHAnsi"/>
                <w:b w:val="0"/>
                <w:noProof/>
                <w:color w:val="auto"/>
                <w:szCs w:val="24"/>
                <w:lang w:eastAsia="en-GB"/>
              </w:rPr>
              <w:tab/>
            </w:r>
            <w:r>
              <w:rPr>
                <w:noProof/>
              </w:rPr>
              <w:t>Attachments</w:t>
            </w:r>
            <w:r>
              <w:rPr>
                <w:noProof/>
              </w:rPr>
              <w:tab/>
            </w:r>
            <w:r>
              <w:rPr>
                <w:noProof/>
              </w:rPr>
              <w:fldChar w:fldCharType="begin"/>
            </w:r>
            <w:r>
              <w:rPr>
                <w:noProof/>
              </w:rPr>
              <w:instrText xml:space="preserve"> PAGEREF _Toc235433076 \h </w:instrText>
            </w:r>
            <w:r>
              <w:rPr>
                <w:noProof/>
              </w:rPr>
            </w:r>
            <w:r>
              <w:rPr>
                <w:noProof/>
              </w:rPr>
              <w:fldChar w:fldCharType="separate"/>
            </w:r>
            <w:r>
              <w:rPr>
                <w:noProof/>
              </w:rPr>
              <w:t>13</w:t>
            </w:r>
            <w:r>
              <w:rPr>
                <w:noProof/>
              </w:rPr>
              <w:fldChar w:fldCharType="end"/>
            </w:r>
          </w:p>
          <w:p w14:paraId="6F0F0A59" w14:textId="361E9D7A" w:rsidR="00E019B3" w:rsidRPr="0085103F" w:rsidRDefault="00CA338E" w:rsidP="00F16A12">
            <w:pPr>
              <w:pStyle w:val="TOC1"/>
              <w:tabs>
                <w:tab w:val="clear" w:pos="480"/>
                <w:tab w:val="clear" w:pos="9628"/>
              </w:tabs>
              <w:rPr>
                <w:sz w:val="2"/>
                <w:szCs w:val="2"/>
              </w:rPr>
            </w:pPr>
            <w:r>
              <w:fldChar w:fldCharType="end"/>
            </w:r>
          </w:p>
        </w:tc>
        <w:tc>
          <w:tcPr>
            <w:tcW w:w="3112" w:type="dxa"/>
            <w:tcBorders>
              <w:top w:val="single" w:sz="4" w:space="0" w:color="008576"/>
              <w:left w:val="single" w:sz="4" w:space="0" w:color="008576"/>
              <w:bottom w:val="single" w:sz="4" w:space="0" w:color="008576"/>
              <w:right w:val="single" w:sz="4" w:space="0" w:color="008576"/>
            </w:tcBorders>
          </w:tcPr>
          <w:p w14:paraId="42D72B6B" w14:textId="77777777" w:rsidR="00E019B3" w:rsidRPr="00C60A83" w:rsidRDefault="000B6C72" w:rsidP="006A16BB">
            <w:pPr>
              <w:spacing w:line="360" w:lineRule="auto"/>
              <w:rPr>
                <w:b/>
                <w:bCs/>
                <w:color w:val="008576"/>
              </w:rPr>
            </w:pPr>
            <w:r w:rsidRPr="00C60A83">
              <w:rPr>
                <w:b/>
                <w:bCs/>
                <w:color w:val="008576"/>
              </w:rPr>
              <w:t>Contact</w:t>
            </w:r>
          </w:p>
          <w:p w14:paraId="2F0CE86D" w14:textId="5B3F1BB7" w:rsidR="000B6C72" w:rsidRPr="00C60A83" w:rsidRDefault="000B6C72" w:rsidP="006A16BB">
            <w:pPr>
              <w:spacing w:line="360" w:lineRule="auto"/>
              <w:rPr>
                <w:color w:val="008576"/>
              </w:rPr>
            </w:pPr>
            <w:r w:rsidRPr="00C60A83">
              <w:rPr>
                <w:color w:val="008576"/>
              </w:rPr>
              <w:t>Code Administrator</w:t>
            </w:r>
          </w:p>
        </w:tc>
      </w:tr>
      <w:tr w:rsidR="00E019B3" w14:paraId="04618390" w14:textId="77777777" w:rsidTr="004F126F">
        <w:trPr>
          <w:trHeight w:val="407"/>
        </w:trPr>
        <w:tc>
          <w:tcPr>
            <w:tcW w:w="6516" w:type="dxa"/>
            <w:vMerge/>
            <w:tcBorders>
              <w:left w:val="single" w:sz="4" w:space="0" w:color="008576"/>
              <w:right w:val="single" w:sz="4" w:space="0" w:color="008576"/>
            </w:tcBorders>
          </w:tcPr>
          <w:p w14:paraId="0616859F"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702723F3" w14:textId="7BEB784B" w:rsidR="000D0489" w:rsidRDefault="00896883" w:rsidP="000D0489">
            <w:r w:rsidRPr="004C291F">
              <w:rPr>
                <w:rFonts w:cs="Arial"/>
                <w:noProof/>
                <w:color w:val="008576"/>
                <w:szCs w:val="20"/>
                <w:lang w:val="en-US"/>
              </w:rPr>
              <w:drawing>
                <wp:inline distT="0" distB="0" distL="0" distR="0" wp14:anchorId="7315E4AF" wp14:editId="3720118C">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2910CBA7" w14:textId="2CD90C27" w:rsidR="00E019B3" w:rsidRDefault="00C60A83" w:rsidP="000D0489">
            <w:hyperlink r:id="rId13" w:history="1">
              <w:r w:rsidRPr="00FA4C6F">
                <w:rPr>
                  <w:rStyle w:val="Hyperlink"/>
                </w:rPr>
                <w:t>dcusa@electralink.co.uk</w:t>
              </w:r>
            </w:hyperlink>
            <w:r>
              <w:t xml:space="preserve"> </w:t>
            </w:r>
            <w:r w:rsidR="000D0489">
              <w:t xml:space="preserve"> </w:t>
            </w:r>
          </w:p>
        </w:tc>
      </w:tr>
      <w:tr w:rsidR="00E019B3" w14:paraId="72A80D81" w14:textId="77777777" w:rsidTr="004F126F">
        <w:trPr>
          <w:trHeight w:val="407"/>
        </w:trPr>
        <w:tc>
          <w:tcPr>
            <w:tcW w:w="6516" w:type="dxa"/>
            <w:vMerge/>
            <w:tcBorders>
              <w:left w:val="single" w:sz="4" w:space="0" w:color="008576"/>
              <w:right w:val="single" w:sz="4" w:space="0" w:color="008576"/>
            </w:tcBorders>
          </w:tcPr>
          <w:p w14:paraId="2C00E023"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6F16807B" w14:textId="0CE26B36" w:rsidR="00F542AE" w:rsidRPr="00C60A83" w:rsidRDefault="009020B4" w:rsidP="00F542AE">
            <w:pPr>
              <w:rPr>
                <w:color w:val="008576"/>
              </w:rPr>
            </w:pPr>
            <w:r w:rsidRPr="00C60A83">
              <w:rPr>
                <w:rFonts w:cs="Arial"/>
                <w:noProof/>
                <w:color w:val="008576"/>
                <w:szCs w:val="20"/>
                <w:lang w:val="en-US"/>
              </w:rPr>
              <w:drawing>
                <wp:inline distT="0" distB="0" distL="0" distR="0" wp14:anchorId="65379D6E" wp14:editId="4D8D0C5C">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38A37ABA" w14:textId="4D4BE78B" w:rsidR="00E019B3" w:rsidRPr="00C60A83" w:rsidRDefault="00F542AE" w:rsidP="00F542AE">
            <w:pPr>
              <w:rPr>
                <w:color w:val="008576"/>
              </w:rPr>
            </w:pPr>
            <w:r w:rsidRPr="00C60A83">
              <w:rPr>
                <w:color w:val="008576"/>
              </w:rPr>
              <w:t>0207 432 3011</w:t>
            </w:r>
          </w:p>
        </w:tc>
      </w:tr>
      <w:tr w:rsidR="00E019B3" w14:paraId="0C490213" w14:textId="77777777" w:rsidTr="004F126F">
        <w:trPr>
          <w:trHeight w:val="407"/>
        </w:trPr>
        <w:tc>
          <w:tcPr>
            <w:tcW w:w="6516" w:type="dxa"/>
            <w:vMerge/>
            <w:tcBorders>
              <w:left w:val="single" w:sz="4" w:space="0" w:color="008576"/>
              <w:right w:val="single" w:sz="4" w:space="0" w:color="008576"/>
            </w:tcBorders>
          </w:tcPr>
          <w:p w14:paraId="341B0932"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0C3C9C68" w14:textId="7507C438" w:rsidR="00E019B3" w:rsidRPr="00C60A83" w:rsidRDefault="00CF66C9" w:rsidP="00CF66C9">
            <w:pPr>
              <w:rPr>
                <w:b/>
                <w:bCs/>
                <w:color w:val="008576"/>
              </w:rPr>
            </w:pPr>
            <w:r w:rsidRPr="00C60A83">
              <w:rPr>
                <w:b/>
                <w:bCs/>
                <w:color w:val="008576"/>
              </w:rPr>
              <w:t>Proposer</w:t>
            </w:r>
          </w:p>
        </w:tc>
      </w:tr>
      <w:tr w:rsidR="00E019B3" w14:paraId="04952891" w14:textId="77777777" w:rsidTr="004F126F">
        <w:trPr>
          <w:trHeight w:val="407"/>
        </w:trPr>
        <w:tc>
          <w:tcPr>
            <w:tcW w:w="6516" w:type="dxa"/>
            <w:vMerge/>
            <w:tcBorders>
              <w:left w:val="single" w:sz="4" w:space="0" w:color="008576"/>
              <w:right w:val="single" w:sz="4" w:space="0" w:color="008576"/>
            </w:tcBorders>
          </w:tcPr>
          <w:p w14:paraId="67E14088"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477592FF" w14:textId="44916529" w:rsidR="00E019B3" w:rsidRPr="00C60A83" w:rsidRDefault="006F7BB6">
            <w:pPr>
              <w:rPr>
                <w:color w:val="008576"/>
              </w:rPr>
            </w:pPr>
            <w:r>
              <w:rPr>
                <w:color w:val="008576"/>
              </w:rPr>
              <w:t xml:space="preserve">Chris Ong </w:t>
            </w:r>
          </w:p>
        </w:tc>
      </w:tr>
      <w:tr w:rsidR="00E019B3" w14:paraId="605EF61A" w14:textId="77777777" w:rsidTr="004F126F">
        <w:trPr>
          <w:trHeight w:val="407"/>
        </w:trPr>
        <w:tc>
          <w:tcPr>
            <w:tcW w:w="6516" w:type="dxa"/>
            <w:vMerge/>
            <w:tcBorders>
              <w:left w:val="single" w:sz="4" w:space="0" w:color="008576"/>
              <w:bottom w:val="single" w:sz="4" w:space="0" w:color="008576"/>
              <w:right w:val="single" w:sz="4" w:space="0" w:color="008576"/>
            </w:tcBorders>
          </w:tcPr>
          <w:p w14:paraId="6941F3AD"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222E2C1C" w14:textId="0308F880" w:rsidR="00E019B3" w:rsidRPr="00C60A83" w:rsidRDefault="006F7BB6">
            <w:pPr>
              <w:rPr>
                <w:color w:val="008576"/>
              </w:rPr>
            </w:pPr>
            <w:r w:rsidRPr="006F7BB6">
              <w:rPr>
                <w:color w:val="008576"/>
              </w:rPr>
              <w:t>chris.ong@ukpowernetworks.co.uk</w:t>
            </w:r>
          </w:p>
        </w:tc>
      </w:tr>
      <w:tr w:rsidR="00422A1E" w14:paraId="1A6C3926" w14:textId="77777777" w:rsidTr="004F126F">
        <w:trPr>
          <w:trHeight w:val="305"/>
        </w:trPr>
        <w:tc>
          <w:tcPr>
            <w:tcW w:w="6516" w:type="dxa"/>
            <w:tcBorders>
              <w:top w:val="single" w:sz="4" w:space="0" w:color="008576"/>
              <w:left w:val="single" w:sz="4" w:space="0" w:color="008576"/>
              <w:bottom w:val="single" w:sz="4" w:space="0" w:color="008576"/>
              <w:right w:val="single" w:sz="4" w:space="0" w:color="008576"/>
            </w:tcBorders>
            <w:shd w:val="clear" w:color="auto" w:fill="0096D7"/>
            <w:tcMar>
              <w:top w:w="108" w:type="dxa"/>
              <w:bottom w:w="108" w:type="dxa"/>
            </w:tcMar>
          </w:tcPr>
          <w:p w14:paraId="0D64C1F0" w14:textId="2342CCBC" w:rsidR="00422A1E" w:rsidRPr="00A2083C" w:rsidRDefault="00422A1E">
            <w:pPr>
              <w:rPr>
                <w:rFonts w:cs="Arial"/>
                <w:b/>
                <w:bCs/>
                <w:sz w:val="28"/>
                <w:szCs w:val="28"/>
              </w:rPr>
            </w:pPr>
            <w:r w:rsidRPr="00A2083C">
              <w:rPr>
                <w:rFonts w:cs="Arial"/>
                <w:b/>
                <w:bCs/>
                <w:color w:val="FFFFFF" w:themeColor="background1"/>
                <w:sz w:val="28"/>
                <w:szCs w:val="28"/>
              </w:rPr>
              <w:t>Timetable</w:t>
            </w:r>
          </w:p>
        </w:tc>
        <w:tc>
          <w:tcPr>
            <w:tcW w:w="3112" w:type="dxa"/>
            <w:tcBorders>
              <w:top w:val="single" w:sz="4" w:space="0" w:color="008576"/>
              <w:left w:val="single" w:sz="4" w:space="0" w:color="008576"/>
              <w:bottom w:val="single" w:sz="4" w:space="0" w:color="FFFFFF" w:themeColor="background1"/>
              <w:right w:val="single" w:sz="4" w:space="0" w:color="008576"/>
            </w:tcBorders>
          </w:tcPr>
          <w:p w14:paraId="6D70C616" w14:textId="77777777" w:rsidR="00422A1E" w:rsidRDefault="00422A1E"/>
        </w:tc>
      </w:tr>
      <w:tr w:rsidR="00422A1E" w14:paraId="198D878A" w14:textId="77777777" w:rsidTr="004F126F">
        <w:trPr>
          <w:trHeight w:val="2440"/>
        </w:trPr>
        <w:tc>
          <w:tcPr>
            <w:tcW w:w="6516" w:type="dxa"/>
            <w:tcBorders>
              <w:top w:val="single" w:sz="4" w:space="0" w:color="008576"/>
              <w:left w:val="single" w:sz="4" w:space="0" w:color="008576"/>
              <w:bottom w:val="single" w:sz="4" w:space="0" w:color="008576"/>
              <w:right w:val="single" w:sz="4" w:space="0" w:color="008576"/>
            </w:tcBorders>
            <w:tcMar>
              <w:left w:w="0" w:type="dxa"/>
              <w:right w:w="0" w:type="dxa"/>
            </w:tcMar>
          </w:tcPr>
          <w:tbl>
            <w:tblPr>
              <w:tblStyle w:val="TableGrid"/>
              <w:tblW w:w="6650" w:type="dxa"/>
              <w:tblLayout w:type="fixed"/>
              <w:tblLook w:val="04A0" w:firstRow="1" w:lastRow="0" w:firstColumn="1" w:lastColumn="0" w:noHBand="0" w:noVBand="1"/>
            </w:tblPr>
            <w:tblGrid>
              <w:gridCol w:w="3706"/>
              <w:gridCol w:w="2944"/>
            </w:tblGrid>
            <w:tr w:rsidR="00422A1E" w14:paraId="1AF2ACF7"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DD6EE"/>
                  <w:tcMar>
                    <w:top w:w="57" w:type="dxa"/>
                    <w:bottom w:w="57" w:type="dxa"/>
                  </w:tcMar>
                </w:tcPr>
                <w:p w14:paraId="2A0CDBD9" w14:textId="77112BE8" w:rsidR="00422A1E" w:rsidRPr="00E1744F" w:rsidRDefault="00422A1E" w:rsidP="00B21675">
                  <w:pPr>
                    <w:rPr>
                      <w:rFonts w:cs="Arial"/>
                      <w:b/>
                      <w:bCs/>
                    </w:rPr>
                  </w:pPr>
                  <w:r w:rsidRPr="00E1744F">
                    <w:rPr>
                      <w:rFonts w:cs="Arial"/>
                      <w:b/>
                      <w:bCs/>
                    </w:rPr>
                    <w:t>Activity</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shd w:val="clear" w:color="auto" w:fill="BDD6EE"/>
                  <w:tcMar>
                    <w:top w:w="57" w:type="dxa"/>
                    <w:bottom w:w="57" w:type="dxa"/>
                  </w:tcMar>
                </w:tcPr>
                <w:p w14:paraId="4A5ADD90" w14:textId="324B6CB1" w:rsidR="00422A1E" w:rsidRPr="00E1744F" w:rsidRDefault="00422A1E" w:rsidP="00B21675">
                  <w:pPr>
                    <w:rPr>
                      <w:rFonts w:cs="Arial"/>
                      <w:b/>
                      <w:bCs/>
                    </w:rPr>
                  </w:pPr>
                  <w:r w:rsidRPr="00E1744F">
                    <w:rPr>
                      <w:rFonts w:cs="Arial"/>
                      <w:b/>
                      <w:bCs/>
                    </w:rPr>
                    <w:t>Date</w:t>
                  </w:r>
                </w:p>
              </w:tc>
            </w:tr>
            <w:tr w:rsidR="00422A1E" w14:paraId="049BABDD"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6AE2366D" w14:textId="1104DBBA" w:rsidR="00422A1E" w:rsidRPr="00E1744F" w:rsidRDefault="00422A1E" w:rsidP="0089159A">
                  <w:pPr>
                    <w:rPr>
                      <w:rFonts w:cs="Arial"/>
                    </w:rPr>
                  </w:pPr>
                  <w:r w:rsidRPr="00E1744F">
                    <w:rPr>
                      <w:rFonts w:cs="Arial"/>
                    </w:rPr>
                    <w:t>Initial Assessment Report</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034EE45E" w14:textId="3292EF9F" w:rsidR="00422A1E" w:rsidRPr="00E1744F" w:rsidRDefault="00EA2E90" w:rsidP="0089159A">
                  <w:pPr>
                    <w:rPr>
                      <w:rFonts w:cs="Arial"/>
                    </w:rPr>
                  </w:pPr>
                  <w:r>
                    <w:rPr>
                      <w:rFonts w:cs="Arial"/>
                    </w:rPr>
                    <w:t>DD MON YYYY</w:t>
                  </w:r>
                </w:p>
              </w:tc>
            </w:tr>
            <w:tr w:rsidR="00422A1E" w14:paraId="62C5C716"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7E8DF9E2" w14:textId="3D45B562" w:rsidR="00422A1E" w:rsidRPr="00E1744F" w:rsidRDefault="00422A1E" w:rsidP="0089159A">
                  <w:pPr>
                    <w:rPr>
                      <w:rFonts w:cs="Arial"/>
                    </w:rPr>
                  </w:pPr>
                  <w:r w:rsidRPr="00E1744F">
                    <w:rPr>
                      <w:rFonts w:cs="Arial"/>
                    </w:rPr>
                    <w:t>Consultation Issued to Parties</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27B841EC" w14:textId="6093AEA4" w:rsidR="00422A1E" w:rsidRPr="00E1744F" w:rsidRDefault="00EA2E90" w:rsidP="0089159A">
                  <w:pPr>
                    <w:rPr>
                      <w:rFonts w:cs="Arial"/>
                    </w:rPr>
                  </w:pPr>
                  <w:r w:rsidRPr="00EA2E90">
                    <w:rPr>
                      <w:rFonts w:cs="Arial"/>
                    </w:rPr>
                    <w:t>DD MON YYYY</w:t>
                  </w:r>
                </w:p>
              </w:tc>
            </w:tr>
            <w:tr w:rsidR="00422A1E" w14:paraId="6D6F9780"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1FD251AE" w14:textId="0D2F324C" w:rsidR="00422A1E" w:rsidRPr="00E1744F" w:rsidRDefault="00422A1E" w:rsidP="0089159A">
                  <w:pPr>
                    <w:rPr>
                      <w:rFonts w:cs="Arial"/>
                    </w:rPr>
                  </w:pPr>
                  <w:r w:rsidRPr="00E1744F">
                    <w:rPr>
                      <w:rFonts w:cs="Arial"/>
                    </w:rPr>
                    <w:t xml:space="preserve">Change Report Approved by Panel </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629446DE" w14:textId="4D2791EA" w:rsidR="00422A1E" w:rsidRPr="00E1744F" w:rsidRDefault="00EA2E90" w:rsidP="0089159A">
                  <w:pPr>
                    <w:rPr>
                      <w:rFonts w:cs="Arial"/>
                    </w:rPr>
                  </w:pPr>
                  <w:r w:rsidRPr="00EA2E90">
                    <w:rPr>
                      <w:rFonts w:cs="Arial"/>
                    </w:rPr>
                    <w:t>DD MON YYYY</w:t>
                  </w:r>
                </w:p>
              </w:tc>
            </w:tr>
            <w:tr w:rsidR="00422A1E" w14:paraId="2AF88FCC"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6D13F612" w14:textId="66A942E2" w:rsidR="00422A1E" w:rsidRPr="00E1744F" w:rsidRDefault="00422A1E" w:rsidP="0089159A">
                  <w:pPr>
                    <w:rPr>
                      <w:rFonts w:cs="Arial"/>
                    </w:rPr>
                  </w:pPr>
                  <w:r w:rsidRPr="00E1744F">
                    <w:rPr>
                      <w:rFonts w:cs="Arial"/>
                    </w:rPr>
                    <w:t>Change Report Issued for Voting</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31D3F206" w14:textId="0F2FB669" w:rsidR="00422A1E" w:rsidRPr="00E1744F" w:rsidRDefault="00EA2E90" w:rsidP="0089159A">
                  <w:pPr>
                    <w:rPr>
                      <w:rFonts w:cs="Arial"/>
                    </w:rPr>
                  </w:pPr>
                  <w:r w:rsidRPr="00EA2E90">
                    <w:rPr>
                      <w:rFonts w:cs="Arial"/>
                    </w:rPr>
                    <w:t>DD MON YYYY</w:t>
                  </w:r>
                </w:p>
              </w:tc>
            </w:tr>
            <w:tr w:rsidR="00422A1E" w14:paraId="4DA5CEBB"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1CB140C1" w14:textId="2A6D80AD" w:rsidR="00422A1E" w:rsidRPr="00E1744F" w:rsidRDefault="00422A1E" w:rsidP="0089159A">
                  <w:pPr>
                    <w:rPr>
                      <w:rFonts w:cs="Arial"/>
                    </w:rPr>
                  </w:pPr>
                  <w:r w:rsidRPr="00E1744F">
                    <w:rPr>
                      <w:rFonts w:cs="Arial"/>
                    </w:rPr>
                    <w:t>Party Voting Close</w:t>
                  </w:r>
                  <w:r w:rsidR="00F74240">
                    <w:rPr>
                      <w:rFonts w:cs="Arial"/>
                    </w:rPr>
                    <w:t>s</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570DF611" w14:textId="58E2376B" w:rsidR="00422A1E" w:rsidRPr="00E1744F" w:rsidRDefault="00EA2E90" w:rsidP="0089159A">
                  <w:pPr>
                    <w:rPr>
                      <w:rFonts w:cs="Arial"/>
                    </w:rPr>
                  </w:pPr>
                  <w:r w:rsidRPr="00EA2E90">
                    <w:rPr>
                      <w:rFonts w:cs="Arial"/>
                    </w:rPr>
                    <w:t>DD MON YYYY</w:t>
                  </w:r>
                </w:p>
              </w:tc>
            </w:tr>
            <w:tr w:rsidR="00422A1E" w14:paraId="7BC3A6F2"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5F883F87" w14:textId="39C9D286" w:rsidR="00422A1E" w:rsidRPr="00E1744F" w:rsidRDefault="00422A1E" w:rsidP="0089159A">
                  <w:pPr>
                    <w:rPr>
                      <w:rFonts w:cs="Arial"/>
                    </w:rPr>
                  </w:pPr>
                  <w:r w:rsidRPr="00E1744F">
                    <w:rPr>
                      <w:rFonts w:cs="Arial"/>
                    </w:rPr>
                    <w:t>Change Declaration Issued</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08FA0CA4" w14:textId="10C40C06" w:rsidR="00422A1E" w:rsidRPr="00E1744F" w:rsidRDefault="00EA2E90" w:rsidP="0089159A">
                  <w:pPr>
                    <w:rPr>
                      <w:rFonts w:cs="Arial"/>
                    </w:rPr>
                  </w:pPr>
                  <w:r w:rsidRPr="00EA2E90">
                    <w:rPr>
                      <w:rFonts w:cs="Arial"/>
                    </w:rPr>
                    <w:t>DD MON YYYY</w:t>
                  </w:r>
                </w:p>
              </w:tc>
            </w:tr>
          </w:tbl>
          <w:p w14:paraId="479D2E34" w14:textId="77777777" w:rsidR="00422A1E" w:rsidRDefault="00422A1E"/>
        </w:tc>
        <w:tc>
          <w:tcPr>
            <w:tcW w:w="3112" w:type="dxa"/>
            <w:tcBorders>
              <w:top w:val="single" w:sz="4" w:space="0" w:color="FFFFFF" w:themeColor="background1"/>
              <w:left w:val="single" w:sz="4" w:space="0" w:color="008576"/>
              <w:bottom w:val="single" w:sz="4" w:space="0" w:color="008576"/>
              <w:right w:val="single" w:sz="4" w:space="0" w:color="008576"/>
            </w:tcBorders>
          </w:tcPr>
          <w:p w14:paraId="74025BED" w14:textId="77777777" w:rsidR="00422A1E" w:rsidRDefault="00422A1E"/>
        </w:tc>
      </w:tr>
    </w:tbl>
    <w:p w14:paraId="25697202" w14:textId="6367B256" w:rsidR="00EB78D8" w:rsidRDefault="00EB78D8"/>
    <w:p w14:paraId="1C318102" w14:textId="77777777" w:rsidR="00EB78D8" w:rsidRDefault="00EB78D8">
      <w:r>
        <w:br w:type="page"/>
      </w:r>
    </w:p>
    <w:p w14:paraId="0B193ACE" w14:textId="428FD57D" w:rsidR="00753A89" w:rsidRPr="00DE5021" w:rsidRDefault="00DB6CD1" w:rsidP="00753A89">
      <w:pPr>
        <w:pStyle w:val="Heading1"/>
      </w:pPr>
      <w:bookmarkStart w:id="0" w:name="_Toc235433067"/>
      <w:r>
        <w:lastRenderedPageBreak/>
        <w:t>Summary</w:t>
      </w:r>
      <w:bookmarkEnd w:id="0"/>
    </w:p>
    <w:p w14:paraId="4350A3BC" w14:textId="14F13AF8" w:rsidR="00DC338B" w:rsidRPr="00DC338B" w:rsidRDefault="00DC338B" w:rsidP="00DC338B">
      <w:pPr>
        <w:pStyle w:val="ListParagraph"/>
        <w:numPr>
          <w:ilvl w:val="1"/>
          <w:numId w:val="2"/>
        </w:numPr>
        <w:rPr>
          <w:szCs w:val="20"/>
          <w:lang w:eastAsia="en-GB"/>
        </w:rPr>
      </w:pPr>
      <w:r w:rsidRPr="00DC338B">
        <w:rPr>
          <w:szCs w:val="20"/>
          <w:lang w:eastAsia="en-GB"/>
        </w:rPr>
        <w:t>DCP 437, raised by National Grid Electricity Distribution, proposed shortening the Distribution Use of System (DUoS) pricing notice periods to create a longer interval between the publication of the Price Control Financial Model (PCFM) and the publication of final DUoS charges. The intent was to provide Distribution Network Operators (DNOs) with additional time to undertake assurance activities following any Ofgem-directed amendments to allowed revenues</w:t>
      </w:r>
      <w:r>
        <w:rPr>
          <w:szCs w:val="20"/>
          <w:lang w:eastAsia="en-GB"/>
        </w:rPr>
        <w:t>.</w:t>
      </w:r>
    </w:p>
    <w:p w14:paraId="07A62DA1" w14:textId="330D0359" w:rsidR="00DC338B" w:rsidRPr="00DC338B" w:rsidRDefault="00DC338B" w:rsidP="00DC338B">
      <w:pPr>
        <w:pStyle w:val="ListParagraph"/>
        <w:numPr>
          <w:ilvl w:val="1"/>
          <w:numId w:val="2"/>
        </w:numPr>
        <w:rPr>
          <w:szCs w:val="20"/>
          <w:lang w:eastAsia="en-GB"/>
        </w:rPr>
      </w:pPr>
      <w:r w:rsidRPr="00DC338B">
        <w:rPr>
          <w:szCs w:val="20"/>
          <w:lang w:eastAsia="en-GB"/>
        </w:rPr>
        <w:t xml:space="preserve">On 10 October 2025, Ofgem rejected DCP 437, concluding that the proposal did not better facilitate DCUSA charging objectives 2, 3 and 6, while having a neutral impact on the remaining charging objectives. The Authority's decision letter is provided in </w:t>
      </w:r>
      <w:commentRangeStart w:id="1"/>
      <w:r w:rsidRPr="00DC338B">
        <w:rPr>
          <w:szCs w:val="20"/>
          <w:lang w:eastAsia="en-GB"/>
        </w:rPr>
        <w:t xml:space="preserve">Attachment </w:t>
      </w:r>
      <w:commentRangeEnd w:id="1"/>
      <w:r w:rsidR="00D36FA7" w:rsidRPr="00DC338B">
        <w:rPr>
          <w:rStyle w:val="CommentReference"/>
          <w:sz w:val="20"/>
          <w:szCs w:val="20"/>
          <w:lang w:eastAsia="en-GB"/>
        </w:rPr>
        <w:commentReference w:id="1"/>
      </w:r>
      <w:r w:rsidRPr="00DC338B">
        <w:rPr>
          <w:szCs w:val="20"/>
          <w:lang w:eastAsia="en-GB"/>
        </w:rPr>
        <w:t xml:space="preserve">X. </w:t>
      </w:r>
    </w:p>
    <w:p w14:paraId="4CAA538D" w14:textId="77777777" w:rsidR="00E52AB6" w:rsidRPr="00E52AB6" w:rsidRDefault="00E52AB6" w:rsidP="00E52AB6">
      <w:pPr>
        <w:pStyle w:val="ListParagraph"/>
        <w:numPr>
          <w:ilvl w:val="1"/>
          <w:numId w:val="2"/>
        </w:numPr>
        <w:rPr>
          <w:szCs w:val="20"/>
          <w:lang w:eastAsia="en-GB"/>
        </w:rPr>
      </w:pPr>
      <w:r w:rsidRPr="00E52AB6">
        <w:rPr>
          <w:szCs w:val="20"/>
          <w:lang w:eastAsia="en-GB"/>
        </w:rPr>
        <w:t xml:space="preserve">Following Ofgem’s decision on DCP 437, they have stated that any further consideration of DUoS notice periods must be undertaken on a cross code basis, meaning industry should review arrangements across frameworks such as CUSC and UNC rather than treating DUoS in isolation (please note that representatives of CUSC and UNC are part of the DCP 469 working group). </w:t>
      </w:r>
    </w:p>
    <w:p w14:paraId="3D543492" w14:textId="77777777" w:rsidR="00E52AB6" w:rsidRPr="00E52AB6" w:rsidRDefault="00E52AB6" w:rsidP="00E52AB6">
      <w:pPr>
        <w:pStyle w:val="ListParagraph"/>
        <w:numPr>
          <w:ilvl w:val="1"/>
          <w:numId w:val="2"/>
        </w:numPr>
        <w:rPr>
          <w:szCs w:val="20"/>
          <w:lang w:eastAsia="en-GB"/>
        </w:rPr>
      </w:pPr>
      <w:r w:rsidRPr="00E52AB6">
        <w:rPr>
          <w:szCs w:val="20"/>
          <w:lang w:eastAsia="en-GB"/>
        </w:rPr>
        <w:t xml:space="preserve">This requirement does not imply that codes must ultimately be aligned but there is an expectation that there is a holistic examination of why different notice periods exist, whether those differences remain justified, and where appropriate changes suggested if beneficial. Within DCP 469, it is evident that DNOs are keen to explore shortening the DUoS notice period, prompting an initial RFI to understand the impacts of potentially bringing DUoS timelines closer to those used for TNUoS. </w:t>
      </w:r>
    </w:p>
    <w:p w14:paraId="3953EB50" w14:textId="4591CD62" w:rsidR="00DC338B" w:rsidRPr="00DC338B" w:rsidRDefault="00DC338B" w:rsidP="00DC338B">
      <w:pPr>
        <w:pStyle w:val="ListParagraph"/>
        <w:numPr>
          <w:ilvl w:val="1"/>
          <w:numId w:val="2"/>
        </w:numPr>
        <w:rPr>
          <w:szCs w:val="20"/>
          <w:lang w:eastAsia="en-GB"/>
        </w:rPr>
      </w:pPr>
      <w:r w:rsidRPr="00DC338B">
        <w:rPr>
          <w:szCs w:val="20"/>
          <w:lang w:eastAsia="en-GB"/>
        </w:rPr>
        <w:t>DCP 469 has subsequently been raised to facilitate this review and to assess whether amendments to existing charging notice periods may be beneficial. As part of its initial discussions, the Working Group considered the potential merits of reducing the final DUoS charging notice period from the current 15 months to a shorter timeframe. The proposer's current preferred solution is to reduce the final DUoS notice period to two months, bringing it closer to the notice period currently used for Transmission Network Use of System (TNUoS) charges.</w:t>
      </w:r>
    </w:p>
    <w:p w14:paraId="494D539F" w14:textId="51B7EE6F" w:rsidR="00FC4566" w:rsidRDefault="00DC338B" w:rsidP="00DC338B">
      <w:pPr>
        <w:pStyle w:val="ListParagraph"/>
        <w:numPr>
          <w:ilvl w:val="1"/>
          <w:numId w:val="2"/>
        </w:numPr>
        <w:rPr>
          <w:szCs w:val="20"/>
          <w:lang w:eastAsia="en-GB"/>
        </w:rPr>
      </w:pPr>
      <w:r w:rsidRPr="00DC338B">
        <w:rPr>
          <w:szCs w:val="20"/>
          <w:lang w:eastAsia="en-GB"/>
        </w:rPr>
        <w:t>Recognising that any such change could have implications for Suppliers' pricing, risk management and customer contracting arrangements, the Working Group agreed to issue an initial Request for Information (RFI) to Suppliers. The purpose of the RFI</w:t>
      </w:r>
      <w:r w:rsidR="00477C5A">
        <w:rPr>
          <w:szCs w:val="20"/>
          <w:lang w:eastAsia="en-GB"/>
        </w:rPr>
        <w:t xml:space="preserve"> was </w:t>
      </w:r>
      <w:r w:rsidRPr="00DC338B">
        <w:rPr>
          <w:szCs w:val="20"/>
          <w:lang w:eastAsia="en-GB"/>
        </w:rPr>
        <w:t>to gather evidence on the potential impacts of reducing the DUoS notice period and to support the Working Group's assessment of the proposal. Further details of the RFI</w:t>
      </w:r>
      <w:r w:rsidR="003A09E0">
        <w:rPr>
          <w:szCs w:val="20"/>
          <w:lang w:eastAsia="en-GB"/>
        </w:rPr>
        <w:t xml:space="preserve"> and the work completed since this are detailed later in this consultation.</w:t>
      </w:r>
    </w:p>
    <w:p w14:paraId="087DD2BD" w14:textId="7378CC28" w:rsidR="00BF295F" w:rsidRDefault="00DB6CD1" w:rsidP="00BF295F">
      <w:pPr>
        <w:pStyle w:val="Heading1"/>
      </w:pPr>
      <w:bookmarkStart w:id="2" w:name="_Toc235433068"/>
      <w:r>
        <w:t>Governance</w:t>
      </w:r>
      <w:bookmarkEnd w:id="2"/>
    </w:p>
    <w:p w14:paraId="33B1182D" w14:textId="45F65E72" w:rsidR="00BF295F" w:rsidRPr="00BD3DD0" w:rsidRDefault="00835043" w:rsidP="00BD3DD0">
      <w:pPr>
        <w:pStyle w:val="ListParagraph"/>
        <w:numPr>
          <w:ilvl w:val="1"/>
          <w:numId w:val="2"/>
        </w:numPr>
      </w:pPr>
      <w:r w:rsidRPr="00835043">
        <w:t xml:space="preserve">This CP </w:t>
      </w:r>
      <w:r>
        <w:t xml:space="preserve">is </w:t>
      </w:r>
      <w:r w:rsidRPr="00835043">
        <w:t>a Part</w:t>
      </w:r>
      <w:r w:rsidR="00BD3DD0">
        <w:t xml:space="preserve"> 1</w:t>
      </w:r>
      <w:r w:rsidRPr="00BD3DD0">
        <w:t xml:space="preserve"> Matter as</w:t>
      </w:r>
      <w:r w:rsidR="003657C8" w:rsidRPr="00BD3DD0">
        <w:t xml:space="preserve"> it is likely to impact Electricity Suppliers and in turn Customers on long term fixed priced contracts</w:t>
      </w:r>
      <w:r w:rsidR="00E13CA4">
        <w:t xml:space="preserve">. </w:t>
      </w:r>
    </w:p>
    <w:p w14:paraId="2BF9440D" w14:textId="2DF8DC66" w:rsidR="00BF295F" w:rsidRPr="00BD3DD0" w:rsidRDefault="00F157E1" w:rsidP="00BF295F">
      <w:pPr>
        <w:pStyle w:val="ListParagraph"/>
        <w:numPr>
          <w:ilvl w:val="1"/>
          <w:numId w:val="2"/>
        </w:numPr>
      </w:pPr>
      <w:r w:rsidRPr="00BD3DD0">
        <w:t xml:space="preserve">This consultation is issued for a period of </w:t>
      </w:r>
      <w:r w:rsidR="007B2ED1" w:rsidRPr="00BD3DD0">
        <w:t>[</w:t>
      </w:r>
      <w:r w:rsidRPr="00BD3DD0">
        <w:t>15</w:t>
      </w:r>
      <w:r w:rsidR="007B2ED1" w:rsidRPr="00BD3DD0">
        <w:t>]</w:t>
      </w:r>
      <w:r w:rsidRPr="00BD3DD0">
        <w:t xml:space="preserve"> working days.</w:t>
      </w:r>
    </w:p>
    <w:p w14:paraId="7611226F" w14:textId="56172370" w:rsidR="00BF295F" w:rsidRDefault="00DE5021" w:rsidP="00BF295F">
      <w:pPr>
        <w:pStyle w:val="Heading1"/>
      </w:pPr>
      <w:bookmarkStart w:id="3" w:name="_Toc235433069"/>
      <w:r>
        <w:t>DCP 469 Request for Information</w:t>
      </w:r>
      <w:bookmarkEnd w:id="3"/>
    </w:p>
    <w:p w14:paraId="075A671C" w14:textId="54303631" w:rsidR="00200575" w:rsidRDefault="00200575" w:rsidP="00FD1130">
      <w:pPr>
        <w:pStyle w:val="ListParagraph"/>
        <w:numPr>
          <w:ilvl w:val="1"/>
          <w:numId w:val="2"/>
        </w:numPr>
      </w:pPr>
      <w:r w:rsidRPr="00200575">
        <w:t>The DCP 469 RFI was issued to Suppliers on 16 April 2026, with responses requested by 11 May 2026. The RFI was developed following Working Group discussions on the potential impact of reducing the final DUoS charging notice period from the current 15-month arrangement to a shorter timeframe, including the two-month notice period proposed under DCP 469.</w:t>
      </w:r>
    </w:p>
    <w:p w14:paraId="2811404E" w14:textId="38060650" w:rsidR="00FD1130" w:rsidRDefault="00FD1130" w:rsidP="00FD1130">
      <w:pPr>
        <w:pStyle w:val="ListParagraph"/>
        <w:numPr>
          <w:ilvl w:val="1"/>
          <w:numId w:val="2"/>
        </w:numPr>
      </w:pPr>
      <w:r>
        <w:t>Responses were received from Suppliers and were collated on an anonymised basis for the Working Group. All respondents indicated that reducing the DUoS notice period to two months would have a high impact on Suppliers and customers. Respondents generally considered that a shorter notice period would increase uncertainty when pricing customer contracts, as final DUoS charges would be unknown for longer when contracts are agreed.</w:t>
      </w:r>
      <w:r w:rsidR="00511E2D">
        <w:t xml:space="preserve"> Although no evidence or detailed explanation of the impact on risk premia was provided in support of this view.</w:t>
      </w:r>
    </w:p>
    <w:p w14:paraId="38DCB173" w14:textId="731F5EF1" w:rsidR="00FD1130" w:rsidRDefault="00FD1130" w:rsidP="00FD1130">
      <w:pPr>
        <w:pStyle w:val="ListParagraph"/>
        <w:numPr>
          <w:ilvl w:val="1"/>
          <w:numId w:val="2"/>
        </w:numPr>
      </w:pPr>
      <w:r>
        <w:lastRenderedPageBreak/>
        <w:t>A common theme across responses was that Suppliers cannot hedge DUoS charges in the same way as wholesale energy costs. Respondents therefore considered that a shorter notice period would increase forecasting uncertainty and lead to a greater reliance on assumptions when pricing customer contracts. Most respondents considered this would result in higher risk premia being included within tariffs.</w:t>
      </w:r>
    </w:p>
    <w:p w14:paraId="05905CB3" w14:textId="0BE2886F" w:rsidR="00FD1130" w:rsidRDefault="00FD1130" w:rsidP="00FD1130">
      <w:pPr>
        <w:pStyle w:val="ListParagraph"/>
        <w:numPr>
          <w:ilvl w:val="1"/>
          <w:numId w:val="2"/>
        </w:numPr>
      </w:pPr>
      <w:r>
        <w:t>Respondents also highlighted that impacts would differ across customer and product types. Concerns were most commonly raised in relation to fixed-price contracts</w:t>
      </w:r>
      <w:r w:rsidR="00C07FF4">
        <w:t xml:space="preserve"> </w:t>
      </w:r>
      <w:r>
        <w:t>where prices may be agreed before final DUoS charges are known. For pass-through arrangements, respondents noted that customers could face greater uncertainty when forecasting future energy costs.</w:t>
      </w:r>
    </w:p>
    <w:p w14:paraId="0E41034A" w14:textId="76BEFBCF" w:rsidR="00FD1130" w:rsidRDefault="00FD1130" w:rsidP="00FD1130">
      <w:pPr>
        <w:pStyle w:val="ListParagraph"/>
        <w:numPr>
          <w:ilvl w:val="1"/>
          <w:numId w:val="2"/>
        </w:numPr>
      </w:pPr>
      <w:r>
        <w:t>Several respondents indicated that a shorter notice period could influence product design, contract structures and internal risk management processes. Examples included shorter contract durations, greater use of pass-through arrangements, increased pricing governance and more conservative approaches to risk management.</w:t>
      </w:r>
    </w:p>
    <w:p w14:paraId="6F27F390" w14:textId="1C536464" w:rsidR="00FD1130" w:rsidRDefault="00FD1130" w:rsidP="00FD1130">
      <w:pPr>
        <w:pStyle w:val="ListParagraph"/>
        <w:numPr>
          <w:ilvl w:val="1"/>
          <w:numId w:val="2"/>
        </w:numPr>
      </w:pPr>
      <w:r>
        <w:t>Respondents generally did not consider that aligning DUoS notice periods with the current TNUoS timescales would reduce risk. Most responses stated that alignment alone would not address the underlying uncertainty associated with setting future charges and could increase the amount of network charging risk that Suppliers and customers would need to manage over the same period.</w:t>
      </w:r>
    </w:p>
    <w:p w14:paraId="377A3282" w14:textId="7ED6F1BC" w:rsidR="00616149" w:rsidRDefault="00FD1130" w:rsidP="00FD1130">
      <w:pPr>
        <w:pStyle w:val="ListParagraph"/>
        <w:numPr>
          <w:ilvl w:val="1"/>
          <w:numId w:val="2"/>
        </w:numPr>
      </w:pPr>
      <w:r>
        <w:t>In terms of potential mitigations, respondents identified improvements to indicative charging information as the most commonly suggested option. These included earlier publication of indicative charges, greater transparency of inputs and limits on the movement between indicative and final charges. However, views differed on how effective such measures would be, with several respondents indicating that they would not remove the need for increased risk premia under a shorter notice period.</w:t>
      </w:r>
    </w:p>
    <w:p w14:paraId="5408BB5D" w14:textId="6A8121D7" w:rsidR="00601CEE" w:rsidRPr="00FD1130" w:rsidRDefault="00601CEE" w:rsidP="00FD1130">
      <w:pPr>
        <w:pStyle w:val="ListParagraph"/>
        <w:numPr>
          <w:ilvl w:val="1"/>
          <w:numId w:val="2"/>
        </w:numPr>
      </w:pPr>
      <w:r w:rsidRPr="00601CEE">
        <w:t>The purpose of this section is to summarise the responses received to the DCP 469 RFI. The RFI sought evidence from Suppliers on the potential impacts of reducing the final DUoS charging notice period. The views presented in this section reflect the responses received and are summarised on an anonymised basis. Section 4 set out additional analysis provided by DNOs and the Working Group's subsequent consideration of that information.</w:t>
      </w:r>
    </w:p>
    <w:p w14:paraId="6CB81663" w14:textId="09F1A67E" w:rsidR="00BF295F" w:rsidRDefault="00511F75" w:rsidP="00BF295F">
      <w:pPr>
        <w:pStyle w:val="Heading1"/>
      </w:pPr>
      <w:bookmarkStart w:id="4" w:name="_Toc235433070"/>
      <w:r>
        <w:t>Post RFI Working Group Activity</w:t>
      </w:r>
      <w:bookmarkEnd w:id="4"/>
    </w:p>
    <w:p w14:paraId="6C104C79" w14:textId="7CA8B93E" w:rsidR="001A70A7" w:rsidRPr="001A70A7" w:rsidRDefault="001A70A7" w:rsidP="001A70A7">
      <w:pPr>
        <w:rPr>
          <w:b/>
          <w:bCs/>
        </w:rPr>
      </w:pPr>
      <w:r w:rsidRPr="001A70A7">
        <w:rPr>
          <w:b/>
          <w:bCs/>
        </w:rPr>
        <w:t>DNO Analysis of Notice Periods and Charge Volatility</w:t>
      </w:r>
    </w:p>
    <w:p w14:paraId="4852C0B5" w14:textId="28317DCE" w:rsidR="001A70A7" w:rsidRDefault="001A70A7" w:rsidP="001A70A7">
      <w:pPr>
        <w:pStyle w:val="ListParagraph"/>
        <w:numPr>
          <w:ilvl w:val="1"/>
          <w:numId w:val="2"/>
        </w:numPr>
      </w:pPr>
      <w:r>
        <w:t xml:space="preserve">DNOs have collectively reviewed the impact of the current 15-month notice period for DUoS charges and have developed analysis to illustrate how this affects charge volatility in practice. The accompanying slides (attached) compare allowed revenues used when setting charges under a 15-month notice period </w:t>
      </w:r>
      <w:r w:rsidR="00162FE7">
        <w:t>along with a</w:t>
      </w:r>
      <w:r>
        <w:t xml:space="preserve"> scenario using a shorter notice period (for example, two months).</w:t>
      </w:r>
    </w:p>
    <w:p w14:paraId="29B7B83F" w14:textId="77777777" w:rsidR="001A70A7" w:rsidRDefault="001A70A7" w:rsidP="001A70A7">
      <w:pPr>
        <w:pStyle w:val="ListParagraph"/>
        <w:numPr>
          <w:ilvl w:val="1"/>
          <w:numId w:val="2"/>
        </w:numPr>
      </w:pPr>
      <w:r>
        <w:t>The analysis shows that setting charges with a longer notice period requires forecasts to be made significantly in advance of the relevant charging year. As a result, charges are based on assumptions that may subsequently change, particularly in periods of economic uncertainty. The data demonstrates that, if charges were set closer to real time, the resulting allowed revenue profile would be materially flatter and more stable on a year-on-year basis. This indicates that the current approach can introduce avoidable volatility into DUoS charges.</w:t>
      </w:r>
    </w:p>
    <w:p w14:paraId="3FCAE4EF" w14:textId="5E1D4BF3" w:rsidR="004D4C9B" w:rsidRDefault="00AC465B" w:rsidP="004D4C9B">
      <w:r w:rsidRPr="00AC465B">
        <w:rPr>
          <w:noProof/>
        </w:rPr>
        <w:lastRenderedPageBreak/>
        <w:drawing>
          <wp:inline distT="0" distB="0" distL="0" distR="0" wp14:anchorId="24F7A283" wp14:editId="4B225162">
            <wp:extent cx="4276331" cy="2569225"/>
            <wp:effectExtent l="0" t="0" r="0" b="2540"/>
            <wp:docPr id="1532943213" name="Picture 3">
              <a:extLst xmlns:a="http://schemas.openxmlformats.org/drawingml/2006/main">
                <a:ext uri="{FF2B5EF4-FFF2-40B4-BE49-F238E27FC236}">
                  <a16:creationId xmlns:a16="http://schemas.microsoft.com/office/drawing/2014/main" id="{0EB9DE7E-ED0A-6A55-E4D0-266B22439C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EB9DE7E-ED0A-6A55-E4D0-266B22439CB1}"/>
                        </a:ext>
                      </a:extLst>
                    </pic:cNvPr>
                    <pic:cNvPicPr>
                      <a:picLocks noChangeAspect="1"/>
                    </pic:cNvPicPr>
                  </pic:nvPicPr>
                  <pic:blipFill>
                    <a:blip r:embed="rId19"/>
                    <a:stretch>
                      <a:fillRect/>
                    </a:stretch>
                  </pic:blipFill>
                  <pic:spPr>
                    <a:xfrm>
                      <a:off x="0" y="0"/>
                      <a:ext cx="4276331" cy="2569225"/>
                    </a:xfrm>
                    <a:prstGeom prst="rect">
                      <a:avLst/>
                    </a:prstGeom>
                  </pic:spPr>
                </pic:pic>
              </a:graphicData>
            </a:graphic>
          </wp:inline>
        </w:drawing>
      </w:r>
    </w:p>
    <w:p w14:paraId="10BDC49C" w14:textId="5B11B704" w:rsidR="00AC465B" w:rsidRDefault="00AC465B" w:rsidP="004D4C9B">
      <w:r w:rsidRPr="00AC465B">
        <w:rPr>
          <w:noProof/>
        </w:rPr>
        <w:drawing>
          <wp:inline distT="0" distB="0" distL="0" distR="0" wp14:anchorId="51A6F615" wp14:editId="0D3B7779">
            <wp:extent cx="4282041" cy="2569225"/>
            <wp:effectExtent l="0" t="0" r="4445" b="2540"/>
            <wp:docPr id="586105074" name="Picture 5">
              <a:extLst xmlns:a="http://schemas.openxmlformats.org/drawingml/2006/main">
                <a:ext uri="{FF2B5EF4-FFF2-40B4-BE49-F238E27FC236}">
                  <a16:creationId xmlns:a16="http://schemas.microsoft.com/office/drawing/2014/main" id="{A9DED041-77CE-95D1-DA45-07E4D1340D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9DED041-77CE-95D1-DA45-07E4D1340D7B}"/>
                        </a:ext>
                      </a:extLst>
                    </pic:cNvPr>
                    <pic:cNvPicPr>
                      <a:picLocks noChangeAspect="1"/>
                    </pic:cNvPicPr>
                  </pic:nvPicPr>
                  <pic:blipFill>
                    <a:blip r:embed="rId20"/>
                    <a:stretch>
                      <a:fillRect/>
                    </a:stretch>
                  </pic:blipFill>
                  <pic:spPr>
                    <a:xfrm>
                      <a:off x="0" y="0"/>
                      <a:ext cx="4282041" cy="2569225"/>
                    </a:xfrm>
                    <a:prstGeom prst="rect">
                      <a:avLst/>
                    </a:prstGeom>
                  </pic:spPr>
                </pic:pic>
              </a:graphicData>
            </a:graphic>
          </wp:inline>
        </w:drawing>
      </w:r>
    </w:p>
    <w:p w14:paraId="08241039" w14:textId="77777777" w:rsidR="001A70A7" w:rsidRDefault="001A70A7" w:rsidP="001A70A7">
      <w:pPr>
        <w:pStyle w:val="ListParagraph"/>
        <w:numPr>
          <w:ilvl w:val="1"/>
          <w:numId w:val="2"/>
        </w:numPr>
      </w:pPr>
      <w:r>
        <w:t>DNOs observed that volatility during the early years of RIIO-ED2 was particularly pronounced. This was largely driven by wider economic factors, including significant and unexpected movements in inflation, as well as uncertainty associated with price control determinations. However, this example remains relevant as similar risks continue to exist looking ahead to RIIO-ED3, given ongoing geopolitical and economic uncertainty. The issue is therefore not limited to a specific period but reflects a broader challenge associated with setting charges far in advance.</w:t>
      </w:r>
    </w:p>
    <w:p w14:paraId="6A8F0B2F" w14:textId="77777777" w:rsidR="001A70A7" w:rsidRDefault="001A70A7" w:rsidP="001A70A7">
      <w:pPr>
        <w:pStyle w:val="ListParagraph"/>
        <w:numPr>
          <w:ilvl w:val="1"/>
          <w:numId w:val="2"/>
        </w:numPr>
      </w:pPr>
      <w:r>
        <w:t>To provide additional context, DNOs also considered historical trends. Evidence indicates that there was less volatility in customer charges at the start of RIIO-ED1 compared to RIIO-ED2, reflecting more stable underlying conditions at that time. More recent policy interventions, such as Supplier of Last Resort (SoLR) costs, have also contributed to increased variability in charges, reinforcing the challenges associated with long-range forecasting.</w:t>
      </w:r>
    </w:p>
    <w:p w14:paraId="027E640E" w14:textId="61220669" w:rsidR="00AC465B" w:rsidRDefault="00AC465B" w:rsidP="00AC465B">
      <w:r w:rsidRPr="00AC465B">
        <w:rPr>
          <w:noProof/>
        </w:rPr>
        <w:lastRenderedPageBreak/>
        <w:drawing>
          <wp:inline distT="0" distB="0" distL="0" distR="0" wp14:anchorId="715CDB22" wp14:editId="082D8799">
            <wp:extent cx="6120130" cy="2005330"/>
            <wp:effectExtent l="0" t="0" r="0" b="0"/>
            <wp:docPr id="921431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43151" name=""/>
                    <pic:cNvPicPr/>
                  </pic:nvPicPr>
                  <pic:blipFill>
                    <a:blip r:embed="rId21"/>
                    <a:stretch>
                      <a:fillRect/>
                    </a:stretch>
                  </pic:blipFill>
                  <pic:spPr>
                    <a:xfrm>
                      <a:off x="0" y="0"/>
                      <a:ext cx="6120130" cy="2005330"/>
                    </a:xfrm>
                    <a:prstGeom prst="rect">
                      <a:avLst/>
                    </a:prstGeom>
                  </pic:spPr>
                </pic:pic>
              </a:graphicData>
            </a:graphic>
          </wp:inline>
        </w:drawing>
      </w:r>
    </w:p>
    <w:p w14:paraId="297F8AD6" w14:textId="02D2B0D5" w:rsidR="00AC465B" w:rsidRDefault="001A70A7" w:rsidP="00AC465B">
      <w:pPr>
        <w:pStyle w:val="ListParagraph"/>
        <w:numPr>
          <w:ilvl w:val="1"/>
          <w:numId w:val="2"/>
        </w:numPr>
      </w:pPr>
      <w:r>
        <w:t>DNOs also highlighted the relative contribution of DUoS charges to overall customer bills. While DUoS charges are an important component of network cost recovery, they represent a relatively small proportion of a typical dual fuel bill. This proportion has varied over time, largely due to movements in wholesale prices, but is currently around 7% of a dual fuel bill (and approximately 13% of an electricity-only bill). On this basis, any change to the notice period is expected to have a limited overall impact on total customer bills.</w:t>
      </w:r>
    </w:p>
    <w:p w14:paraId="0359013A" w14:textId="007182BD" w:rsidR="00AC465B" w:rsidRDefault="00AC465B" w:rsidP="00AC465B">
      <w:r w:rsidRPr="00AC465B">
        <w:rPr>
          <w:noProof/>
        </w:rPr>
        <w:drawing>
          <wp:inline distT="0" distB="0" distL="0" distR="0" wp14:anchorId="1DB1448F" wp14:editId="6A2FDBD1">
            <wp:extent cx="6120130" cy="2966720"/>
            <wp:effectExtent l="0" t="0" r="0" b="5080"/>
            <wp:docPr id="21363867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386750" name=""/>
                    <pic:cNvPicPr/>
                  </pic:nvPicPr>
                  <pic:blipFill>
                    <a:blip r:embed="rId22"/>
                    <a:stretch>
                      <a:fillRect/>
                    </a:stretch>
                  </pic:blipFill>
                  <pic:spPr>
                    <a:xfrm>
                      <a:off x="0" y="0"/>
                      <a:ext cx="6120130" cy="2966720"/>
                    </a:xfrm>
                    <a:prstGeom prst="rect">
                      <a:avLst/>
                    </a:prstGeom>
                  </pic:spPr>
                </pic:pic>
              </a:graphicData>
            </a:graphic>
          </wp:inline>
        </w:drawing>
      </w:r>
    </w:p>
    <w:p w14:paraId="62AFD726" w14:textId="77777777" w:rsidR="001A70A7" w:rsidRDefault="001A70A7" w:rsidP="001A70A7">
      <w:pPr>
        <w:pStyle w:val="ListParagraph"/>
        <w:numPr>
          <w:ilvl w:val="1"/>
          <w:numId w:val="2"/>
        </w:numPr>
      </w:pPr>
      <w:r>
        <w:t>Finally, DNOs noted that supplier charges are subject to the Ofgem Energy Price Cap, which places an overall limit on the total charges that can be passed through to domestic consumers. This provides a degree of protection, as it constrains the extent to which short-term variations in individual cost components, including DUoS, are reflected in final customer prices.</w:t>
      </w:r>
    </w:p>
    <w:p w14:paraId="23A5AE2F" w14:textId="4331905D" w:rsidR="00AC465B" w:rsidRDefault="00AC465B" w:rsidP="00AC465B">
      <w:r w:rsidRPr="00AC465B">
        <w:rPr>
          <w:noProof/>
        </w:rPr>
        <w:lastRenderedPageBreak/>
        <w:drawing>
          <wp:inline distT="0" distB="0" distL="0" distR="0" wp14:anchorId="5F7C083D" wp14:editId="54248BD6">
            <wp:extent cx="6120130" cy="3016250"/>
            <wp:effectExtent l="0" t="0" r="0" b="0"/>
            <wp:docPr id="79713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13375" name=""/>
                    <pic:cNvPicPr/>
                  </pic:nvPicPr>
                  <pic:blipFill>
                    <a:blip r:embed="rId23"/>
                    <a:stretch>
                      <a:fillRect/>
                    </a:stretch>
                  </pic:blipFill>
                  <pic:spPr>
                    <a:xfrm>
                      <a:off x="0" y="0"/>
                      <a:ext cx="6120130" cy="3016250"/>
                    </a:xfrm>
                    <a:prstGeom prst="rect">
                      <a:avLst/>
                    </a:prstGeom>
                  </pic:spPr>
                </pic:pic>
              </a:graphicData>
            </a:graphic>
          </wp:inline>
        </w:drawing>
      </w:r>
    </w:p>
    <w:p w14:paraId="6A12254F" w14:textId="254BD773" w:rsidR="001A70A7" w:rsidRDefault="001A70A7" w:rsidP="009E153F">
      <w:pPr>
        <w:pStyle w:val="ListParagraph"/>
        <w:numPr>
          <w:ilvl w:val="1"/>
          <w:numId w:val="2"/>
        </w:numPr>
      </w:pPr>
      <w:r>
        <w:t>Overall, DNOs consider that the evidence demonstrates that the current 15-month notice period can contribute to unnecessary volatility in DUoS charges. Reducing the notice period, or introducing flexibility to do so, could improve the alignment between charges and underlying costs, leading to a more stable and predictable outcome, while having a relatively limited impact on total bills.</w:t>
      </w:r>
    </w:p>
    <w:p w14:paraId="68D7286D" w14:textId="56F6E61F" w:rsidR="00E05715" w:rsidRDefault="00E05715">
      <w:pPr>
        <w:rPr>
          <w:szCs w:val="20"/>
          <w:lang w:eastAsia="en-GB"/>
        </w:rPr>
      </w:pPr>
      <w:r>
        <w:rPr>
          <w:b/>
          <w:bCs/>
        </w:rPr>
        <w:t xml:space="preserve">DNO Risk Premia </w:t>
      </w:r>
      <w:r w:rsidR="00B413FA">
        <w:rPr>
          <w:b/>
          <w:bCs/>
        </w:rPr>
        <w:t>Calculator</w:t>
      </w:r>
    </w:p>
    <w:p w14:paraId="34F2E114" w14:textId="3F968D91" w:rsidR="005964FB" w:rsidRPr="00537D57" w:rsidRDefault="006C40BD" w:rsidP="00537D57">
      <w:pPr>
        <w:pStyle w:val="ListParagraph"/>
        <w:numPr>
          <w:ilvl w:val="1"/>
          <w:numId w:val="2"/>
        </w:numPr>
      </w:pPr>
      <w:r>
        <w:t xml:space="preserve">A </w:t>
      </w:r>
      <w:r w:rsidR="005964FB">
        <w:t>risk premia calculator</w:t>
      </w:r>
      <w:r>
        <w:t xml:space="preserve"> was developed under DCP437 which was sent out to industry for review as part of the impact analysis of DCP 437 and it received no adverse comments. This calculator has been updated and further developed t</w:t>
      </w:r>
      <w:r w:rsidR="005964FB">
        <w:t>o support assessment of the potential impacts of moving from a 15-month to a shorter notice period (such as two months). The model (attached) provides an illustrative framework for quantifying the potential costs that suppliers may factor into tariffs when there is increased uncertainty over future DUoS charges.</w:t>
      </w:r>
    </w:p>
    <w:p w14:paraId="64B185B2" w14:textId="77777777" w:rsidR="005964FB" w:rsidRDefault="005964FB" w:rsidP="00537D57">
      <w:pPr>
        <w:pStyle w:val="ListParagraph"/>
        <w:numPr>
          <w:ilvl w:val="1"/>
          <w:numId w:val="2"/>
        </w:numPr>
      </w:pPr>
      <w:r>
        <w:t>The calculator considers scenarios where suppliers enter into fixed-term contracts without full visibility of future DUoS charges. It estimates a potential “risk premium” that may be applied to account for this uncertainty, based on assumptions such as the potential range of DUoS price movements, the likelihood of those movements occurring, and the number of months within a contract period for which charges are not yet known.</w:t>
      </w:r>
    </w:p>
    <w:p w14:paraId="4B9E80D3" w14:textId="740AE33A" w:rsidR="00C163D9" w:rsidRDefault="00C163D9" w:rsidP="006C40BD">
      <w:pPr>
        <w:pStyle w:val="ListParagraph"/>
        <w:numPr>
          <w:ilvl w:val="1"/>
          <w:numId w:val="2"/>
        </w:numPr>
      </w:pPr>
      <w:r>
        <w:t xml:space="preserve">The working group used the calculator to </w:t>
      </w:r>
      <w:r w:rsidR="006C40BD">
        <w:t xml:space="preserve">perform </w:t>
      </w:r>
      <w:r>
        <w:t xml:space="preserve">risk premia </w:t>
      </w:r>
      <w:r w:rsidR="006C40BD">
        <w:t xml:space="preserve">analysis </w:t>
      </w:r>
      <w:r>
        <w:t xml:space="preserve">under </w:t>
      </w:r>
      <w:r w:rsidR="006C40BD">
        <w:t>a</w:t>
      </w:r>
      <w:r>
        <w:t xml:space="preserve"> 15-month </w:t>
      </w:r>
      <w:r w:rsidR="006C40BD">
        <w:t xml:space="preserve">DUoS </w:t>
      </w:r>
      <w:r>
        <w:t xml:space="preserve">notice period </w:t>
      </w:r>
      <w:r w:rsidR="006C40BD">
        <w:t xml:space="preserve">and </w:t>
      </w:r>
      <w:r>
        <w:t xml:space="preserve">a 2-month </w:t>
      </w:r>
      <w:r w:rsidR="006C40BD">
        <w:t xml:space="preserve">DUoS </w:t>
      </w:r>
      <w:r>
        <w:t>notice period</w:t>
      </w:r>
      <w:r w:rsidR="004B3F04">
        <w:t xml:space="preserve"> for both 12- and 24-month contracts</w:t>
      </w:r>
      <w:r>
        <w:t>. The calculator has two main variables between 15-month and 2-month notice</w:t>
      </w:r>
      <w:r w:rsidR="006C40BD">
        <w:t xml:space="preserve"> period </w:t>
      </w:r>
      <w:r>
        <w:t xml:space="preserve">analysis. The first is </w:t>
      </w:r>
      <w:r w:rsidR="006C40BD">
        <w:t xml:space="preserve">the </w:t>
      </w:r>
      <w:r>
        <w:t>number of unknown months of DUoS tariffs (higher under 2-month notice); the second is the volatility in DUoS charges (lower under 2-month notice).</w:t>
      </w:r>
    </w:p>
    <w:p w14:paraId="00518E85" w14:textId="7BACA0AE" w:rsidR="006F020C" w:rsidRDefault="00C163D9" w:rsidP="00537D57">
      <w:pPr>
        <w:pStyle w:val="ListParagraph"/>
        <w:numPr>
          <w:ilvl w:val="1"/>
          <w:numId w:val="2"/>
        </w:numPr>
      </w:pPr>
      <w:r>
        <w:t>The analysis shows that</w:t>
      </w:r>
      <w:r w:rsidR="004B3F04">
        <w:t xml:space="preserve"> the</w:t>
      </w:r>
      <w:r>
        <w:t xml:space="preserve"> month in which a customer enters a contract has a significant impact on their risk premium. </w:t>
      </w:r>
      <w:r w:rsidR="006F020C">
        <w:t xml:space="preserve">For 12-month contracts on </w:t>
      </w:r>
      <w:r w:rsidR="004B3F04">
        <w:t>2</w:t>
      </w:r>
      <w:r>
        <w:t>-</w:t>
      </w:r>
      <w:r w:rsidR="006F020C">
        <w:t xml:space="preserve">month notice the risk premium ranges from </w:t>
      </w:r>
      <w:r>
        <w:t>zero</w:t>
      </w:r>
      <w:r w:rsidR="006F020C">
        <w:t xml:space="preserve"> to a maximum of circa £1.20. The risk premium is zero in February through to April and then increases slowly, with the highest risk premium being applied to cont</w:t>
      </w:r>
      <w:r w:rsidR="004B3F04">
        <w:t>r</w:t>
      </w:r>
      <w:r w:rsidR="006F020C">
        <w:t xml:space="preserve">acts starting in January. This is because January </w:t>
      </w:r>
      <w:r w:rsidR="0080105A">
        <w:t>has the highest number of unknown months (3 known and 9 unknown)</w:t>
      </w:r>
      <w:r w:rsidR="006F020C">
        <w:t>.</w:t>
      </w:r>
    </w:p>
    <w:p w14:paraId="1298CB6E" w14:textId="71C63891" w:rsidR="00C163D9" w:rsidRDefault="00C163D9" w:rsidP="00537D57">
      <w:pPr>
        <w:pStyle w:val="ListParagraph"/>
        <w:numPr>
          <w:ilvl w:val="1"/>
          <w:numId w:val="2"/>
        </w:numPr>
      </w:pPr>
      <w:r>
        <w:t>For 24-month contracts</w:t>
      </w:r>
      <w:r w:rsidR="006C40BD">
        <w:t xml:space="preserve"> there is always a risk premium under 2-month notice</w:t>
      </w:r>
      <w:r w:rsidR="0080105A">
        <w:t>,</w:t>
      </w:r>
      <w:r w:rsidR="006C40BD">
        <w:t xml:space="preserve"> which starts </w:t>
      </w:r>
      <w:r w:rsidR="004B3F04">
        <w:t>small</w:t>
      </w:r>
      <w:r w:rsidR="006C40BD">
        <w:t xml:space="preserve"> (a total of £1.30 over the contract)</w:t>
      </w:r>
      <w:r>
        <w:t xml:space="preserve"> </w:t>
      </w:r>
      <w:r w:rsidR="006C40BD">
        <w:t>and increases gradually with the maximum risk premium applied to contracts taken out in January (circa £2.80). On 15-month notice there is no risk premium for contracts that begin in January through to April, but from May onwards there is a risk premium</w:t>
      </w:r>
      <w:r w:rsidR="0080105A">
        <w:t xml:space="preserve">, </w:t>
      </w:r>
      <w:r w:rsidR="006C40BD">
        <w:t xml:space="preserve">which rises sharply and for </w:t>
      </w:r>
      <w:r w:rsidR="0080105A">
        <w:t>c</w:t>
      </w:r>
      <w:r w:rsidR="006C40BD">
        <w:t>ont</w:t>
      </w:r>
      <w:r w:rsidR="004B3F04">
        <w:t>r</w:t>
      </w:r>
      <w:r w:rsidR="006C40BD">
        <w:t xml:space="preserve">acts taken out in August </w:t>
      </w:r>
      <w:r w:rsidR="0080105A">
        <w:t xml:space="preserve">though to </w:t>
      </w:r>
      <w:r w:rsidR="006C40BD">
        <w:t xml:space="preserve">December the </w:t>
      </w:r>
      <w:r w:rsidR="0080105A">
        <w:t xml:space="preserve">analysis shows that the </w:t>
      </w:r>
      <w:r w:rsidR="006C40BD">
        <w:t>risk premium is higher than it would have been on 2-month notice, with the risk premium for cont</w:t>
      </w:r>
      <w:r w:rsidR="004B3F04">
        <w:t>r</w:t>
      </w:r>
      <w:r w:rsidR="006C40BD">
        <w:t>acts in December almost double the risk premium under 2-month notice.</w:t>
      </w:r>
    </w:p>
    <w:p w14:paraId="7FEB9CF3" w14:textId="77777777" w:rsidR="00C163D9" w:rsidRDefault="006F020C" w:rsidP="00A61E20">
      <w:pPr>
        <w:pStyle w:val="ListParagraph"/>
        <w:keepNext/>
        <w:ind w:left="567"/>
      </w:pPr>
      <w:r>
        <w:rPr>
          <w:noProof/>
        </w:rPr>
        <w:lastRenderedPageBreak/>
        <w:drawing>
          <wp:inline distT="0" distB="0" distL="0" distR="0" wp14:anchorId="440ED4AA" wp14:editId="24E324FB">
            <wp:extent cx="5838825" cy="3648075"/>
            <wp:effectExtent l="0" t="0" r="0" b="0"/>
            <wp:docPr id="690572529" name="Chart 1">
              <a:extLst xmlns:a="http://schemas.openxmlformats.org/drawingml/2006/main">
                <a:ext uri="{FF2B5EF4-FFF2-40B4-BE49-F238E27FC236}">
                  <a16:creationId xmlns:a16="http://schemas.microsoft.com/office/drawing/2014/main" id="{8E322691-3E8A-B1B0-ECEA-CDF4C36D1B9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59D4508B" w14:textId="77507D80" w:rsidR="006F020C" w:rsidRDefault="00C163D9" w:rsidP="00A61E20">
      <w:pPr>
        <w:pStyle w:val="Caption"/>
        <w:ind w:firstLine="567"/>
      </w:pPr>
      <w:r>
        <w:t xml:space="preserve">Figure </w:t>
      </w:r>
      <w:fldSimple w:instr=" SEQ Figure \* ARABIC ">
        <w:r w:rsidR="00291EEC">
          <w:rPr>
            <w:noProof/>
          </w:rPr>
          <w:t>1</w:t>
        </w:r>
      </w:fldSimple>
    </w:p>
    <w:p w14:paraId="0148A2CB" w14:textId="77777777" w:rsidR="0080105A" w:rsidRDefault="006C40BD" w:rsidP="00A61E20">
      <w:pPr>
        <w:pStyle w:val="ListParagraph"/>
        <w:keepNext/>
        <w:ind w:left="567"/>
      </w:pPr>
      <w:r>
        <w:rPr>
          <w:noProof/>
        </w:rPr>
        <w:drawing>
          <wp:inline distT="0" distB="0" distL="0" distR="0" wp14:anchorId="6797E5BC" wp14:editId="68765DAA">
            <wp:extent cx="5838825" cy="3467100"/>
            <wp:effectExtent l="0" t="0" r="0" b="0"/>
            <wp:docPr id="2040483052" name="Chart 1">
              <a:extLst xmlns:a="http://schemas.openxmlformats.org/drawingml/2006/main">
                <a:ext uri="{FF2B5EF4-FFF2-40B4-BE49-F238E27FC236}">
                  <a16:creationId xmlns:a16="http://schemas.microsoft.com/office/drawing/2014/main" id="{8E322691-3E8A-B1B0-ECEA-CDF4C36D1B9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7AA09AE6" w14:textId="1D5D2508" w:rsidR="00C163D9" w:rsidRDefault="0080105A" w:rsidP="0080105A">
      <w:pPr>
        <w:pStyle w:val="Caption"/>
        <w:ind w:firstLine="567"/>
      </w:pPr>
      <w:r>
        <w:t xml:space="preserve">Figure </w:t>
      </w:r>
      <w:fldSimple w:instr=" SEQ Figure \* ARABIC ">
        <w:r w:rsidR="00291EEC">
          <w:rPr>
            <w:noProof/>
          </w:rPr>
          <w:t>2</w:t>
        </w:r>
      </w:fldSimple>
    </w:p>
    <w:p w14:paraId="2E2288C7" w14:textId="37E12C1E" w:rsidR="00291EEC" w:rsidRDefault="00291EEC" w:rsidP="00291EEC">
      <w:pPr>
        <w:pStyle w:val="ListParagraph"/>
        <w:numPr>
          <w:ilvl w:val="1"/>
          <w:numId w:val="2"/>
        </w:numPr>
        <w:spacing w:line="256" w:lineRule="auto"/>
        <w:rPr>
          <w:szCs w:val="20"/>
          <w:lang w:eastAsia="en-GB"/>
        </w:rPr>
      </w:pPr>
      <w:r>
        <w:t xml:space="preserve">Regardless of the </w:t>
      </w:r>
      <w:r w:rsidR="002E077D">
        <w:t>notice</w:t>
      </w:r>
      <w:r>
        <w:t xml:space="preserve"> period </w:t>
      </w:r>
      <w:r w:rsidR="002E077D">
        <w:t xml:space="preserve">and associated </w:t>
      </w:r>
      <w:r>
        <w:t>risk premiu</w:t>
      </w:r>
      <w:r w:rsidR="002E077D">
        <w:t>m</w:t>
      </w:r>
      <w:r>
        <w:t>, the impact is negli</w:t>
      </w:r>
      <w:r w:rsidR="002E077D">
        <w:t>gi</w:t>
      </w:r>
      <w:r>
        <w:t xml:space="preserve">ble </w:t>
      </w:r>
      <w:r w:rsidR="002E077D">
        <w:t>in comparison to the total annual electricity bill as per figure 3 below. The highest risk premium under 2-month notice represents circa 0.</w:t>
      </w:r>
      <w:r w:rsidR="00FA0D57">
        <w:t>13</w:t>
      </w:r>
      <w:r w:rsidR="002E077D">
        <w:t xml:space="preserve">% of the total annual electricity bill. Under 15-month notice </w:t>
      </w:r>
      <w:r w:rsidR="00FA0D57">
        <w:t>the highest risk premium</w:t>
      </w:r>
      <w:r w:rsidR="002E077D">
        <w:t xml:space="preserve"> represents circa 0.</w:t>
      </w:r>
      <w:r w:rsidR="00FA0D57">
        <w:t>23</w:t>
      </w:r>
      <w:r w:rsidR="002E077D">
        <w:t>% of the total annual electricity bill.</w:t>
      </w:r>
    </w:p>
    <w:p w14:paraId="1FD4BA93" w14:textId="77777777" w:rsidR="00291EEC" w:rsidRDefault="00291EEC" w:rsidP="00A61E20">
      <w:pPr>
        <w:keepNext/>
        <w:ind w:left="567"/>
      </w:pPr>
      <w:r>
        <w:rPr>
          <w:noProof/>
        </w:rPr>
        <w:lastRenderedPageBreak/>
        <w:drawing>
          <wp:inline distT="0" distB="0" distL="0" distR="0" wp14:anchorId="12323DBE" wp14:editId="16317F7E">
            <wp:extent cx="5838825" cy="3476625"/>
            <wp:effectExtent l="0" t="0" r="0" b="0"/>
            <wp:docPr id="2010873283" name="Chart 1">
              <a:extLst xmlns:a="http://schemas.openxmlformats.org/drawingml/2006/main">
                <a:ext uri="{FF2B5EF4-FFF2-40B4-BE49-F238E27FC236}">
                  <a16:creationId xmlns:a16="http://schemas.microsoft.com/office/drawing/2014/main" id="{2009AD9C-EFA5-C640-A246-A4A00D4EC22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1F9B8A84" w14:textId="647BE129" w:rsidR="00291EEC" w:rsidRPr="00291EEC" w:rsidRDefault="00291EEC" w:rsidP="00A61E20">
      <w:pPr>
        <w:pStyle w:val="Caption"/>
        <w:ind w:firstLine="567"/>
      </w:pPr>
      <w:r>
        <w:t xml:space="preserve">Figure </w:t>
      </w:r>
      <w:fldSimple w:instr=" SEQ Figure \* ARABIC ">
        <w:r>
          <w:rPr>
            <w:noProof/>
          </w:rPr>
          <w:t>3</w:t>
        </w:r>
      </w:fldSimple>
    </w:p>
    <w:p w14:paraId="5011034C" w14:textId="77777777" w:rsidR="00C163D9" w:rsidRDefault="00C163D9" w:rsidP="00A61E20">
      <w:pPr>
        <w:pStyle w:val="ListParagraph"/>
        <w:ind w:left="567"/>
      </w:pPr>
    </w:p>
    <w:p w14:paraId="378BF9F4" w14:textId="77777777" w:rsidR="00D45DBC" w:rsidRDefault="00D45DBC">
      <w:pPr>
        <w:rPr>
          <w:szCs w:val="20"/>
          <w:lang w:eastAsia="en-GB"/>
        </w:rPr>
      </w:pPr>
      <w:r>
        <w:rPr>
          <w:b/>
          <w:bCs/>
        </w:rPr>
        <w:t>Consideration of Other Notice Period Options</w:t>
      </w:r>
    </w:p>
    <w:p w14:paraId="33989006" w14:textId="77777777" w:rsidR="0030296A" w:rsidRDefault="0030296A" w:rsidP="0030296A">
      <w:pPr>
        <w:pStyle w:val="ListParagraph"/>
        <w:numPr>
          <w:ilvl w:val="1"/>
          <w:numId w:val="2"/>
        </w:numPr>
        <w:spacing w:line="256" w:lineRule="auto"/>
        <w:rPr>
          <w:szCs w:val="20"/>
          <w:lang w:eastAsia="en-GB"/>
        </w:rPr>
      </w:pPr>
      <w:r>
        <w:t>DNOs have considered whether notice periods other than the existing 15-month period or the proposed two-month period could address the issues identified through DCP 469. In principle, any notice period could be adopted; however, the DNO assessment has focused on whether alternative periods would materially improve the accuracy of charges and reduce volatility, while remaining practical for DNOs and the wider industry.</w:t>
      </w:r>
    </w:p>
    <w:p w14:paraId="7EDA0A3F" w14:textId="77777777" w:rsidR="0030296A" w:rsidRDefault="0030296A" w:rsidP="0030296A">
      <w:pPr>
        <w:pStyle w:val="ListParagraph"/>
        <w:numPr>
          <w:ilvl w:val="1"/>
          <w:numId w:val="2"/>
        </w:numPr>
        <w:spacing w:line="256" w:lineRule="auto"/>
      </w:pPr>
      <w:r>
        <w:t xml:space="preserve">DNOs considered that the key trade-off is between using more accurate and potentially finalised data, which becomes available closer to the charging year taking effect, and providing earlier visibility based on forecast data. </w:t>
      </w:r>
    </w:p>
    <w:p w14:paraId="0DC80B73" w14:textId="77777777" w:rsidR="0030296A" w:rsidRDefault="0030296A" w:rsidP="0030296A">
      <w:pPr>
        <w:pStyle w:val="ListParagraph"/>
        <w:numPr>
          <w:ilvl w:val="1"/>
          <w:numId w:val="2"/>
        </w:numPr>
        <w:spacing w:line="256" w:lineRule="auto"/>
      </w:pPr>
      <w:r>
        <w:t>Setting charges in the first few months of the year to provide between 10 and 14 months’ notice was not considered to offer a significant improvement over the current 15-month approach, as DNOs would still have limited additional clarity on the inputs required and the same volatility issues would largely remain. One option would be to set charges at nine (end of June) months in advance of them taking effect, which would be the latest possible date before the work for the Elexon losses submission process starts under BSCP128. This work starts no later than the beginning of July ahead of submission at the end of September each year and is undertaken by the same teams as those setting the charges. However, this would still result in many of the inputs being unknown or largely based upon forecasts, resulting in charges not being aligned to what they should have been and needing to be addressed the following year, which could reduce but would not remove the volatility.</w:t>
      </w:r>
    </w:p>
    <w:p w14:paraId="4E6BF84B" w14:textId="77777777" w:rsidR="0030296A" w:rsidRDefault="0030296A" w:rsidP="0030296A">
      <w:pPr>
        <w:pStyle w:val="ListParagraph"/>
        <w:numPr>
          <w:ilvl w:val="1"/>
          <w:numId w:val="2"/>
        </w:numPr>
        <w:spacing w:line="256" w:lineRule="auto"/>
      </w:pPr>
      <w:r>
        <w:t xml:space="preserve">On this basis, and allowing for the time needed to plan, collect and validate the relevant data, DNOs considered that the only enduring options likely to address the issues raised by DCP 469 would be setting charges with either two or three months’ notice. DNOs considered that these options would allow charges to be calculated on the latest available data, reduce avoidable volatility, limit competing delivery obligations and better align DUoS timescales with the existing approach for TNUoS charges. </w:t>
      </w:r>
    </w:p>
    <w:p w14:paraId="23D4CF7C" w14:textId="77777777" w:rsidR="00D45DBC" w:rsidRDefault="00D45DBC">
      <w:pPr>
        <w:rPr>
          <w:szCs w:val="20"/>
          <w:lang w:eastAsia="en-GB"/>
        </w:rPr>
      </w:pPr>
      <w:r>
        <w:rPr>
          <w:b/>
          <w:bCs/>
        </w:rPr>
        <w:t>Consideration of Indicative Charges</w:t>
      </w:r>
    </w:p>
    <w:p w14:paraId="678B0D62" w14:textId="77777777" w:rsidR="005964FB" w:rsidRPr="00FD2BB9" w:rsidRDefault="005964FB" w:rsidP="00FD2BB9">
      <w:pPr>
        <w:pStyle w:val="ListParagraph"/>
        <w:numPr>
          <w:ilvl w:val="1"/>
          <w:numId w:val="2"/>
        </w:numPr>
      </w:pPr>
      <w:r>
        <w:t xml:space="preserve">DNOs have also considered the use of indicative charges as a potential mitigation to support Suppliers in managing a shorter final notice period. Supplier responses to the RFI indicated that </w:t>
      </w:r>
      <w:r>
        <w:lastRenderedPageBreak/>
        <w:t>indicative charges could assist Suppliers with pricing and risk management, with some responses also suggesting that movement between indicative and final charges should be limited by a defined threshold.</w:t>
      </w:r>
    </w:p>
    <w:p w14:paraId="5C8D6608" w14:textId="77777777" w:rsidR="005964FB" w:rsidRDefault="005964FB" w:rsidP="00FD2BB9">
      <w:pPr>
        <w:pStyle w:val="ListParagraph"/>
        <w:numPr>
          <w:ilvl w:val="1"/>
          <w:numId w:val="2"/>
        </w:numPr>
      </w:pPr>
      <w:r>
        <w:t>DNOs noted that three sets of illustrative charges are already produced through the Cost Information Review Pack (CIRP), which provides information on movements in allowed revenue and the likely impact on future DUoS charges. These illustrative charges are not currently capped by reference to a defined threshold when compared with final charges. DNOs considered that this is particularly challenging when moving from one price control period to another, as allowed revenue for the next period may not yet be confirmed. In those circumstances, DNOs may need to roll forward revenue assumptions from the final year of the previous price control, which may not reflect the revenue ultimately agreed.</w:t>
      </w:r>
    </w:p>
    <w:p w14:paraId="37901D4B" w14:textId="77777777" w:rsidR="005964FB" w:rsidRDefault="005964FB" w:rsidP="00FD2BB9">
      <w:pPr>
        <w:pStyle w:val="ListParagraph"/>
        <w:numPr>
          <w:ilvl w:val="1"/>
          <w:numId w:val="2"/>
        </w:numPr>
      </w:pPr>
      <w:r>
        <w:t>DNOs considered that a defined threshold between indicative and final charges may be possible in principle, but that it would need to be set at a level that is practical for DNOs. If set too low, it could create cashflow issues where DNOs are unable to recover costs they are required to pay, including items such as Supplier of Last Resort or Data Communications Company costs. It could also defer unrecovered revenue into future years, creating additional volatility in subsequent charges.</w:t>
      </w:r>
    </w:p>
    <w:p w14:paraId="2EC09EAA" w14:textId="77777777" w:rsidR="005964FB" w:rsidRDefault="005964FB" w:rsidP="00FD2BB9">
      <w:pPr>
        <w:pStyle w:val="ListParagraph"/>
        <w:numPr>
          <w:ilvl w:val="1"/>
          <w:numId w:val="2"/>
        </w:numPr>
      </w:pPr>
      <w:r>
        <w:t>DNOs considered that a practical threshold may therefore need to be relatively high, potentially in the region of 30% to 50%. However, a threshold at that level may offer limited value to Suppliers or customers, as it may not provide meaningful confidence over final charge movements. DNOs also noted that they are subject to licence obligations relating to the extent to which they may be over or under their expected allowed revenue in a given year. Introducing a binding threshold may therefore require licence changes, which would sit outside the scope of a DCUSA change proposal.</w:t>
      </w:r>
    </w:p>
    <w:p w14:paraId="7CF15F55" w14:textId="4A769008" w:rsidR="00D6335C" w:rsidRPr="00A520E7" w:rsidRDefault="00D6335C">
      <w:pPr>
        <w:rPr>
          <w:color w:val="FF0000"/>
          <w:szCs w:val="20"/>
          <w:lang w:eastAsia="en-GB"/>
        </w:rPr>
      </w:pPr>
      <w:r>
        <w:rPr>
          <w:b/>
          <w:bCs/>
        </w:rPr>
        <w:t>Working Group Consideration of DNO Analysis</w:t>
      </w:r>
      <w:r w:rsidR="00A520E7">
        <w:rPr>
          <w:b/>
          <w:bCs/>
        </w:rPr>
        <w:t xml:space="preserve"> </w:t>
      </w:r>
      <w:r w:rsidR="00A520E7">
        <w:rPr>
          <w:b/>
          <w:bCs/>
          <w:color w:val="FF0000"/>
        </w:rPr>
        <w:t xml:space="preserve">(21 July Meeting output) </w:t>
      </w:r>
    </w:p>
    <w:p w14:paraId="07825C01" w14:textId="77777777" w:rsidR="003F1D93" w:rsidRPr="003F1D93" w:rsidRDefault="00D6335C" w:rsidP="003F1D93">
      <w:pPr>
        <w:pStyle w:val="ListParagraph"/>
        <w:numPr>
          <w:ilvl w:val="1"/>
          <w:numId w:val="2"/>
        </w:numPr>
      </w:pPr>
      <w:r>
        <w:t>The analysis set out above reflects views and supporting evidence provided by DNO</w:t>
      </w:r>
      <w:r w:rsidR="00076880">
        <w:t>s</w:t>
      </w:r>
      <w:r>
        <w:t xml:space="preserve">. The Working Group has </w:t>
      </w:r>
    </w:p>
    <w:p w14:paraId="72DEC82D" w14:textId="148D304B" w:rsidR="005964FB" w:rsidRPr="003F1D93" w:rsidRDefault="005964FB" w:rsidP="003F1D93">
      <w:pPr>
        <w:rPr>
          <w:b/>
          <w:bCs/>
        </w:rPr>
      </w:pPr>
      <w:r w:rsidRPr="003F1D93">
        <w:rPr>
          <w:b/>
          <w:bCs/>
        </w:rPr>
        <w:t>Ofgem</w:t>
      </w:r>
      <w:r w:rsidRPr="003F1D93">
        <w:t xml:space="preserve"> </w:t>
      </w:r>
      <w:r w:rsidRPr="003F1D93">
        <w:rPr>
          <w:b/>
          <w:bCs/>
        </w:rPr>
        <w:t>CARR Workshop – Pricing Predictability and Notice Periods</w:t>
      </w:r>
    </w:p>
    <w:p w14:paraId="5DD507A1" w14:textId="77777777" w:rsidR="00D6335C" w:rsidRPr="00D6335C" w:rsidRDefault="00D6335C" w:rsidP="00D6335C">
      <w:pPr>
        <w:pStyle w:val="ListParagraph"/>
        <w:numPr>
          <w:ilvl w:val="1"/>
          <w:numId w:val="2"/>
        </w:numPr>
      </w:pPr>
      <w:r>
        <w:t>Alongside the DNO analysis above, the Working Group has also noted the wider regulatory context provided by Ofgem’s Cost Allocation and Recovery Review (CARR). As part of CARR, Ofgem has considered the role of network charging arrangements in supporting pricing predictability and stability. Materials shared at the CARR stakeholder workshop highlight that predictability is important for suppliers, network companies and consumers, as it allows parties to anticipate charges and manage costs effectively.</w:t>
      </w:r>
    </w:p>
    <w:p w14:paraId="5092A360" w14:textId="77777777" w:rsidR="00D6335C" w:rsidRDefault="00D6335C" w:rsidP="00D6335C">
      <w:pPr>
        <w:pStyle w:val="ListParagraph"/>
        <w:numPr>
          <w:ilvl w:val="1"/>
          <w:numId w:val="2"/>
        </w:numPr>
      </w:pPr>
      <w:r>
        <w:t>Ofgem’s analysis notes that, under current arrangements, charges are often based on forecasts made well in advance. This can result in charges that are not fully aligned with actual underlying costs at the point they are applied. Feedback gathered through Ofgem’s Call for Input indicated that predictability of charges is a key concern for stakeholders, particularly in the context of increased volatility in wholesale markets and wider economic conditions.</w:t>
      </w:r>
    </w:p>
    <w:p w14:paraId="24927C55" w14:textId="77777777" w:rsidR="00D6335C" w:rsidRDefault="00D6335C" w:rsidP="00D6335C">
      <w:pPr>
        <w:pStyle w:val="ListParagraph"/>
        <w:numPr>
          <w:ilvl w:val="1"/>
          <w:numId w:val="2"/>
        </w:numPr>
      </w:pPr>
      <w:r>
        <w:t xml:space="preserve">Ofgem has also highlighted that network charging notice periods are an important driver of this issue, as they determine when cost information becomes sufficiently certain to be reflected in charges. Current arrangements differ across the energy system, with some charges set well in advance (such as DUoS at 15 months) and others set closer to real time. </w:t>
      </w:r>
    </w:p>
    <w:p w14:paraId="22B89648" w14:textId="77777777" w:rsidR="00D6335C" w:rsidRDefault="00D6335C" w:rsidP="00D6335C">
      <w:pPr>
        <w:pStyle w:val="ListParagraph"/>
        <w:numPr>
          <w:ilvl w:val="1"/>
          <w:numId w:val="2"/>
        </w:numPr>
      </w:pPr>
      <w:r>
        <w:t xml:space="preserve">The CARR workshop materials set out a clear trade-off between predictability and accuracy. Longer notice periods can provide earlier visibility of charges and support planning but rely more heavily on forecasts and therefore carry a greater risk that charges will diverge from actual costs, potentially increasing volatility between years. In contrast, shorter notice periods allow charges to be based on more up-to-date information, improving cost reflectivity and reducing the need for subsequent adjustments, but with reduced forward visibility. </w:t>
      </w:r>
    </w:p>
    <w:p w14:paraId="38C17ECC" w14:textId="3DC9941A" w:rsidR="005964FB" w:rsidRDefault="00D6335C" w:rsidP="005964FB">
      <w:pPr>
        <w:pStyle w:val="ListParagraph"/>
        <w:numPr>
          <w:ilvl w:val="1"/>
          <w:numId w:val="2"/>
        </w:numPr>
      </w:pPr>
      <w:r>
        <w:t xml:space="preserve">Ofgem is therefore considering whether changes to notice periods, or broader charging arrangements, could improve predictability for consumers while maintaining cost reflectivity and </w:t>
      </w:r>
      <w:r>
        <w:lastRenderedPageBreak/>
        <w:t>efficient price signals. This includes exploring the potential to better balance forward visibility with accuracy of charges.</w:t>
      </w:r>
    </w:p>
    <w:p w14:paraId="15C24CD9" w14:textId="38059E71" w:rsidR="0030296A" w:rsidRPr="0030296A" w:rsidRDefault="0030296A" w:rsidP="0030296A">
      <w:pPr>
        <w:rPr>
          <w:b/>
          <w:bCs/>
        </w:rPr>
      </w:pPr>
      <w:r w:rsidRPr="0030296A">
        <w:rPr>
          <w:b/>
          <w:bCs/>
        </w:rPr>
        <w:t>Change of DNO Time Bands</w:t>
      </w:r>
    </w:p>
    <w:p w14:paraId="74AA60CA" w14:textId="1D50680A" w:rsidR="0030296A" w:rsidRDefault="0030296A" w:rsidP="0030296A">
      <w:pPr>
        <w:pStyle w:val="ListParagraph"/>
        <w:numPr>
          <w:ilvl w:val="1"/>
          <w:numId w:val="2"/>
        </w:numPr>
      </w:pPr>
      <w:r>
        <w:t xml:space="preserve">Currently a DNO is required to provide written notification of a change of time bands (as detailed in Schedule 16 Clause 41A), which currently states that 15 months’ notice is required, which aligns to the notice period for a change of charges. There is minimal benefit for a Supplier knowing that a DNOs time bands are changing if they do not have the charges which will apply. As a result, it is proposed that the reference to 15 months is removed from 41A and instead replaced with text which aligns to Section 2A, Clause 19.1.1 (which is where the actual notice period for charges is detailed). </w:t>
      </w:r>
    </w:p>
    <w:p w14:paraId="4DC883E5" w14:textId="47502117" w:rsidR="0030296A" w:rsidRDefault="0030296A" w:rsidP="0030296A">
      <w:pPr>
        <w:pStyle w:val="ListParagraph"/>
        <w:numPr>
          <w:ilvl w:val="1"/>
          <w:numId w:val="2"/>
        </w:numPr>
      </w:pPr>
      <w:r>
        <w:t>Following the competition next year of MHHS and with the increased use of EVs, Heat Pumps and Solar on the networks, it might be that going forward DNOs will look to revise their time bands to better reflect when their networks are peaking, and having one formal communication of changes (to both charges and time bands) will also ensure that parties can look at a single source to ensure that changes are not missed.</w:t>
      </w:r>
    </w:p>
    <w:p w14:paraId="078EB2D2" w14:textId="5DABEC3B" w:rsidR="00BF295F" w:rsidRPr="00420B2A" w:rsidRDefault="001D16A8" w:rsidP="00420B2A">
      <w:pPr>
        <w:pStyle w:val="Heading1"/>
      </w:pPr>
      <w:bookmarkStart w:id="5" w:name="_Toc235433071"/>
      <w:r w:rsidRPr="00420B2A">
        <w:t>Assessment Against the DCUSA Objectives</w:t>
      </w:r>
      <w:bookmarkEnd w:id="5"/>
      <w:r w:rsidRPr="00420B2A">
        <w:t xml:space="preserve"> </w:t>
      </w:r>
    </w:p>
    <w:p w14:paraId="3A68D1B8" w14:textId="5740B4BE" w:rsidR="006B66A3" w:rsidRPr="00AC465B" w:rsidRDefault="006B66A3" w:rsidP="006B66A3">
      <w:pPr>
        <w:pStyle w:val="ListParagraph"/>
        <w:numPr>
          <w:ilvl w:val="1"/>
          <w:numId w:val="2"/>
        </w:numPr>
      </w:pPr>
      <w:r w:rsidRPr="0025705A">
        <w:t xml:space="preserve">For a DCUSA </w:t>
      </w:r>
      <w:r>
        <w:t xml:space="preserve">CP </w:t>
      </w:r>
      <w:r w:rsidRPr="0025705A">
        <w:t xml:space="preserve">to be approved it must be demonstrated that it better facilitates the DCUSA Objectives. This CP is being assessed against the </w:t>
      </w:r>
      <w:r w:rsidRPr="00AC465B">
        <w:t>DCUSA</w:t>
      </w:r>
      <w:r w:rsidR="00AC465B">
        <w:t xml:space="preserve"> </w:t>
      </w:r>
      <w:r w:rsidRPr="00AC465B">
        <w:t>General Objectives</w:t>
      </w:r>
      <w:r w:rsidR="00AC465B" w:rsidRPr="00AC465B">
        <w:t>.</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79"/>
        <w:gridCol w:w="7711"/>
        <w:gridCol w:w="1218"/>
      </w:tblGrid>
      <w:tr w:rsidR="006B66A3" w:rsidRPr="004F2CBF" w14:paraId="4CC7AE49" w14:textId="77777777" w:rsidTr="00241168">
        <w:trPr>
          <w:cantSplit/>
          <w:trHeight w:val="397"/>
        </w:trPr>
        <w:tc>
          <w:tcPr>
            <w:tcW w:w="353" w:type="pct"/>
          </w:tcPr>
          <w:p w14:paraId="624245D3" w14:textId="77777777" w:rsidR="006B66A3" w:rsidRPr="004F2CBF" w:rsidRDefault="006B66A3" w:rsidP="00241168">
            <w:pPr>
              <w:spacing w:before="40" w:after="120" w:line="300" w:lineRule="atLeast"/>
              <w:ind w:right="238"/>
              <w:rPr>
                <w:rFonts w:eastAsia="Times New Roman" w:cs="Arial"/>
                <w:b/>
                <w:color w:val="008576"/>
                <w:kern w:val="0"/>
                <w:sz w:val="24"/>
                <w:szCs w:val="24"/>
                <w:lang w:eastAsia="en-GB"/>
                <w14:ligatures w14:val="none"/>
              </w:rPr>
            </w:pPr>
          </w:p>
        </w:tc>
        <w:tc>
          <w:tcPr>
            <w:tcW w:w="4013" w:type="pct"/>
            <w:vAlign w:val="center"/>
          </w:tcPr>
          <w:p w14:paraId="237DA285" w14:textId="77777777" w:rsidR="006B66A3" w:rsidRPr="004F2CBF" w:rsidRDefault="006B66A3" w:rsidP="00241168">
            <w:pPr>
              <w:spacing w:before="40" w:after="120" w:line="300" w:lineRule="atLeast"/>
              <w:ind w:right="238"/>
              <w:rPr>
                <w:rFonts w:eastAsia="Times New Roman" w:cs="Arial"/>
                <w:b/>
                <w:color w:val="008576"/>
                <w:kern w:val="0"/>
                <w:sz w:val="22"/>
                <w:lang w:eastAsia="en-GB"/>
                <w14:ligatures w14:val="none"/>
              </w:rPr>
            </w:pPr>
            <w:r w:rsidRPr="004F2CBF">
              <w:rPr>
                <w:rFonts w:eastAsia="Times New Roman" w:cs="Arial"/>
                <w:b/>
                <w:color w:val="008576"/>
                <w:kern w:val="0"/>
                <w:sz w:val="22"/>
                <w:lang w:eastAsia="en-GB"/>
                <w14:ligatures w14:val="none"/>
              </w:rPr>
              <w:t>DCUSA General Objectives</w:t>
            </w:r>
          </w:p>
        </w:tc>
        <w:tc>
          <w:tcPr>
            <w:tcW w:w="634" w:type="pct"/>
          </w:tcPr>
          <w:p w14:paraId="25D08D41" w14:textId="77777777" w:rsidR="006B66A3" w:rsidRPr="004F2CBF" w:rsidRDefault="006B66A3" w:rsidP="00241168">
            <w:pPr>
              <w:spacing w:before="120" w:after="120" w:line="300" w:lineRule="atLeast"/>
              <w:ind w:left="113" w:right="113"/>
              <w:rPr>
                <w:rFonts w:eastAsia="Times New Roman" w:cs="Times New Roman"/>
                <w:b/>
                <w:kern w:val="0"/>
                <w:szCs w:val="24"/>
                <w:lang w:eastAsia="en-GB"/>
                <w14:ligatures w14:val="none"/>
              </w:rPr>
            </w:pPr>
            <w:r w:rsidRPr="004F2CBF">
              <w:rPr>
                <w:rFonts w:eastAsia="Times New Roman" w:cs="Times New Roman"/>
                <w:b/>
                <w:kern w:val="0"/>
                <w:szCs w:val="24"/>
                <w:lang w:eastAsia="en-GB"/>
                <w14:ligatures w14:val="none"/>
              </w:rPr>
              <w:t>Identified impact</w:t>
            </w:r>
          </w:p>
        </w:tc>
      </w:tr>
      <w:tr w:rsidR="006B66A3" w:rsidRPr="004F2CBF" w14:paraId="670D5897" w14:textId="77777777" w:rsidTr="00241168">
        <w:trPr>
          <w:cantSplit/>
          <w:trHeight w:val="397"/>
        </w:trPr>
        <w:tc>
          <w:tcPr>
            <w:tcW w:w="353" w:type="pct"/>
          </w:tcPr>
          <w:p w14:paraId="2375FECA" w14:textId="5F65FCCD" w:rsidR="006B66A3" w:rsidRPr="004F2CBF" w:rsidRDefault="008B006D" w:rsidP="00241168">
            <w:pPr>
              <w:spacing w:after="120" w:line="300" w:lineRule="atLeast"/>
              <w:jc w:val="center"/>
              <w:rPr>
                <w:rFonts w:ascii="Arial Black" w:eastAsia="Times New Roman" w:hAnsi="Arial Black" w:cs="Arial"/>
                <w:b/>
                <w:bCs/>
                <w:noProof/>
                <w:color w:val="00B050"/>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687281008"/>
                <w14:checkbox>
                  <w14:checked w14:val="1"/>
                  <w14:checkedState w14:val="0052" w14:font="Wingdings 2"/>
                  <w14:uncheckedState w14:val="2610" w14:font="MS Gothic"/>
                </w14:checkbox>
              </w:sdtPr>
              <w:sdtEndPr/>
              <w:sdtContent>
                <w:r w:rsidR="00AC465B">
                  <w:rPr>
                    <w:rFonts w:ascii="Wingdings 2" w:eastAsia="Times New Roman" w:hAnsi="Wingdings 2" w:cs="Arial"/>
                    <w:b/>
                    <w:bCs/>
                    <w:noProof/>
                    <w:color w:val="00B050"/>
                    <w:kern w:val="0"/>
                    <w:sz w:val="48"/>
                    <w:szCs w:val="56"/>
                    <w:lang w:eastAsia="en-GB"/>
                    <w14:ligatures w14:val="none"/>
                  </w:rPr>
                  <w:t>R</w:t>
                </w:r>
              </w:sdtContent>
            </w:sdt>
          </w:p>
        </w:tc>
        <w:tc>
          <w:tcPr>
            <w:tcW w:w="4013" w:type="pct"/>
          </w:tcPr>
          <w:p w14:paraId="00BC3DD0" w14:textId="77777777" w:rsidR="006B66A3" w:rsidRPr="004F2CBF" w:rsidRDefault="006B66A3" w:rsidP="00241168">
            <w:pPr>
              <w:spacing w:after="120" w:line="300" w:lineRule="atLeast"/>
              <w:ind w:left="280" w:hanging="280"/>
              <w:rPr>
                <w:rFonts w:eastAsia="Times New Roman" w:cs="Times New Roman"/>
                <w:noProof/>
                <w:kern w:val="0"/>
                <w:szCs w:val="24"/>
                <w:lang w:eastAsia="en-GB"/>
                <w14:ligatures w14:val="none"/>
              </w:rPr>
            </w:pPr>
            <w:r w:rsidRPr="004F2CBF">
              <w:rPr>
                <w:rFonts w:eastAsia="Times New Roman" w:cs="Arial"/>
                <w:noProof/>
                <w:kern w:val="0"/>
                <w:szCs w:val="24"/>
                <w:lang w:eastAsia="en-GB"/>
                <w14:ligatures w14:val="none"/>
              </w:rPr>
              <w:t>The development, maintenance and operation by the DNO Parties and IDNO Parties of efficient, co-ordinated, and economical Distribution Networks</w:t>
            </w:r>
          </w:p>
        </w:tc>
        <w:tc>
          <w:tcPr>
            <w:tcW w:w="634" w:type="pct"/>
          </w:tcPr>
          <w:p w14:paraId="5C1DFE85" w14:textId="77777777" w:rsidR="006B66A3" w:rsidRDefault="006B66A3" w:rsidP="00241168">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05BA295C" w14:textId="6924C96F" w:rsidR="006B66A3" w:rsidRPr="004F2CBF" w:rsidRDefault="006B66A3" w:rsidP="00241168">
            <w:pPr>
              <w:spacing w:after="0" w:line="240" w:lineRule="auto"/>
              <w:ind w:left="113"/>
              <w:rPr>
                <w:rFonts w:eastAsia="Times New Roman" w:cs="Times New Roman"/>
                <w:color w:val="000000" w:themeColor="text1"/>
                <w:kern w:val="0"/>
                <w:szCs w:val="24"/>
                <w:lang w:eastAsia="en-GB"/>
                <w14:ligatures w14:val="none"/>
              </w:rPr>
            </w:pPr>
          </w:p>
          <w:p w14:paraId="51D15742" w14:textId="77777777" w:rsidR="006B66A3" w:rsidRPr="004F2CBF" w:rsidRDefault="006B66A3" w:rsidP="00241168">
            <w:pPr>
              <w:spacing w:after="0" w:line="240" w:lineRule="auto"/>
              <w:ind w:left="113"/>
              <w:rPr>
                <w:rFonts w:eastAsia="Times New Roman" w:cs="Times New Roman"/>
                <w:kern w:val="0"/>
                <w:szCs w:val="24"/>
                <w:lang w:eastAsia="en-GB"/>
                <w14:ligatures w14:val="none"/>
              </w:rPr>
            </w:pPr>
          </w:p>
        </w:tc>
      </w:tr>
      <w:tr w:rsidR="006B66A3" w:rsidRPr="004F2CBF" w14:paraId="6CC1EEC7" w14:textId="77777777" w:rsidTr="00241168">
        <w:trPr>
          <w:cantSplit/>
          <w:trHeight w:val="397"/>
        </w:trPr>
        <w:tc>
          <w:tcPr>
            <w:tcW w:w="353" w:type="pct"/>
          </w:tcPr>
          <w:p w14:paraId="060C7BFD" w14:textId="29F5A9EE" w:rsidR="006B66A3" w:rsidRPr="004F2CBF" w:rsidRDefault="008B006D" w:rsidP="00241168">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049194635"/>
                <w14:checkbox>
                  <w14:checked w14:val="1"/>
                  <w14:checkedState w14:val="0052" w14:font="Wingdings 2"/>
                  <w14:uncheckedState w14:val="2610" w14:font="MS Gothic"/>
                </w14:checkbox>
              </w:sdtPr>
              <w:sdtEndPr/>
              <w:sdtContent>
                <w:r w:rsidR="00AC465B">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27FD584D" w14:textId="77777777" w:rsidR="006B66A3" w:rsidRPr="004F2CBF" w:rsidRDefault="006B66A3" w:rsidP="00241168">
            <w:pPr>
              <w:spacing w:after="120" w:line="300" w:lineRule="atLeast"/>
              <w:ind w:left="280" w:hanging="280"/>
              <w:rPr>
                <w:rFonts w:eastAsia="Times New Roman" w:cs="Times New Roman"/>
                <w:noProof/>
                <w:kern w:val="0"/>
                <w:szCs w:val="24"/>
                <w:lang w:eastAsia="en-GB"/>
                <w14:ligatures w14:val="none"/>
              </w:rPr>
            </w:pPr>
            <w:r w:rsidRPr="004F2CBF">
              <w:rPr>
                <w:rFonts w:eastAsia="Times New Roman" w:cs="Arial"/>
                <w:noProof/>
                <w:kern w:val="0"/>
                <w:szCs w:val="24"/>
                <w:lang w:eastAsia="en-GB"/>
                <w14:ligatures w14:val="none"/>
              </w:rPr>
              <w:t>The facilitation of effective competition in the generation and supply of electricity and (so far as is consistent therewith) the promotion of such competition in the sale, distribution and purchase of electricity</w:t>
            </w:r>
          </w:p>
        </w:tc>
        <w:tc>
          <w:tcPr>
            <w:tcW w:w="634" w:type="pct"/>
          </w:tcPr>
          <w:p w14:paraId="27CBE1C7" w14:textId="77777777" w:rsidR="006B66A3" w:rsidRDefault="006B66A3" w:rsidP="00241168">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53A14431" w14:textId="56DFC6EA" w:rsidR="006B66A3" w:rsidRPr="004F2CBF" w:rsidRDefault="006B66A3" w:rsidP="00241168">
            <w:pPr>
              <w:spacing w:after="0" w:line="240" w:lineRule="auto"/>
              <w:ind w:left="113"/>
              <w:rPr>
                <w:rFonts w:eastAsia="Times New Roman" w:cs="Times New Roman"/>
                <w:color w:val="000000" w:themeColor="text1"/>
                <w:kern w:val="0"/>
                <w:szCs w:val="24"/>
                <w:lang w:eastAsia="en-GB"/>
                <w14:ligatures w14:val="none"/>
              </w:rPr>
            </w:pPr>
          </w:p>
        </w:tc>
      </w:tr>
      <w:tr w:rsidR="006B66A3" w:rsidRPr="004F2CBF" w14:paraId="6C0FF2A4" w14:textId="77777777" w:rsidTr="00241168">
        <w:trPr>
          <w:cantSplit/>
          <w:trHeight w:val="397"/>
        </w:trPr>
        <w:tc>
          <w:tcPr>
            <w:tcW w:w="353" w:type="pct"/>
          </w:tcPr>
          <w:p w14:paraId="66F24678" w14:textId="7ACC1821" w:rsidR="006B66A3" w:rsidRPr="004F2CBF" w:rsidRDefault="008B006D" w:rsidP="00241168">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530412931"/>
                <w14:checkbox>
                  <w14:checked w14:val="1"/>
                  <w14:checkedState w14:val="0052" w14:font="Wingdings 2"/>
                  <w14:uncheckedState w14:val="2610" w14:font="MS Gothic"/>
                </w14:checkbox>
              </w:sdtPr>
              <w:sdtEndPr/>
              <w:sdtContent>
                <w:r w:rsidR="00AC465B">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7786654C" w14:textId="77777777" w:rsidR="006B66A3" w:rsidRPr="004F2CBF" w:rsidRDefault="006B66A3" w:rsidP="00241168">
            <w:pPr>
              <w:spacing w:after="120" w:line="300" w:lineRule="atLeast"/>
              <w:ind w:left="280" w:hanging="280"/>
              <w:rPr>
                <w:rFonts w:eastAsia="Times New Roman" w:cs="Times New Roman"/>
                <w:noProof/>
                <w:kern w:val="0"/>
                <w:szCs w:val="24"/>
                <w:lang w:eastAsia="en-GB"/>
                <w14:ligatures w14:val="none"/>
              </w:rPr>
            </w:pPr>
            <w:r w:rsidRPr="004F2CBF">
              <w:rPr>
                <w:rFonts w:eastAsia="Times New Roman" w:cs="Arial"/>
                <w:noProof/>
                <w:kern w:val="0"/>
                <w:szCs w:val="24"/>
                <w:lang w:eastAsia="en-GB"/>
                <w14:ligatures w14:val="none"/>
              </w:rPr>
              <w:t>The efficient discharge by the DNO Parties and IDNO Parties of obligations imposed upon them in their Distribution Licences</w:t>
            </w:r>
          </w:p>
        </w:tc>
        <w:tc>
          <w:tcPr>
            <w:tcW w:w="634" w:type="pct"/>
          </w:tcPr>
          <w:p w14:paraId="2BBBA03D" w14:textId="77777777" w:rsidR="006B66A3" w:rsidRDefault="006B66A3" w:rsidP="00241168">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57FEFBD5" w14:textId="217CF61C" w:rsidR="006B66A3" w:rsidRPr="004F2CBF" w:rsidRDefault="006B66A3" w:rsidP="00241168">
            <w:pPr>
              <w:spacing w:after="0" w:line="240" w:lineRule="auto"/>
              <w:ind w:left="113"/>
              <w:rPr>
                <w:rFonts w:eastAsia="Times New Roman" w:cs="Times New Roman"/>
                <w:color w:val="000000" w:themeColor="text1"/>
                <w:kern w:val="0"/>
                <w:szCs w:val="24"/>
                <w:lang w:eastAsia="en-GB"/>
                <w14:ligatures w14:val="none"/>
              </w:rPr>
            </w:pPr>
          </w:p>
        </w:tc>
      </w:tr>
      <w:tr w:rsidR="006B66A3" w:rsidRPr="004F2CBF" w14:paraId="57B99185" w14:textId="77777777" w:rsidTr="00241168">
        <w:trPr>
          <w:cantSplit/>
          <w:trHeight w:val="397"/>
        </w:trPr>
        <w:tc>
          <w:tcPr>
            <w:tcW w:w="353" w:type="pct"/>
          </w:tcPr>
          <w:p w14:paraId="3ADC7CBB" w14:textId="42A957A5" w:rsidR="006B66A3" w:rsidRPr="004F2CBF" w:rsidRDefault="008B006D" w:rsidP="00241168">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699586599"/>
                <w14:checkbox>
                  <w14:checked w14:val="1"/>
                  <w14:checkedState w14:val="0052" w14:font="Wingdings 2"/>
                  <w14:uncheckedState w14:val="2610" w14:font="MS Gothic"/>
                </w14:checkbox>
              </w:sdtPr>
              <w:sdtEndPr/>
              <w:sdtContent>
                <w:r w:rsidR="00AC465B">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37A9F537" w14:textId="77777777" w:rsidR="006B66A3" w:rsidRPr="004F2CBF" w:rsidRDefault="006B66A3" w:rsidP="00241168">
            <w:pPr>
              <w:spacing w:after="120" w:line="300" w:lineRule="atLeast"/>
              <w:ind w:left="280" w:hanging="280"/>
              <w:rPr>
                <w:rFonts w:eastAsia="Times New Roman" w:cs="Times New Roman"/>
                <w:noProof/>
                <w:kern w:val="0"/>
                <w:szCs w:val="24"/>
                <w:lang w:eastAsia="en-GB"/>
                <w14:ligatures w14:val="none"/>
              </w:rPr>
            </w:pPr>
            <w:r w:rsidRPr="004F2CBF">
              <w:rPr>
                <w:rFonts w:eastAsia="Times New Roman" w:cs="Arial"/>
                <w:noProof/>
                <w:kern w:val="0"/>
                <w:szCs w:val="24"/>
                <w:lang w:eastAsia="en-GB"/>
                <w14:ligatures w14:val="none"/>
              </w:rPr>
              <w:t>The promotion of efficiency in the implementation and administration of the DCUSA</w:t>
            </w:r>
          </w:p>
        </w:tc>
        <w:tc>
          <w:tcPr>
            <w:tcW w:w="634" w:type="pct"/>
          </w:tcPr>
          <w:p w14:paraId="68730004" w14:textId="77777777" w:rsidR="006B66A3" w:rsidRDefault="006B66A3" w:rsidP="00241168">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1ED475D8" w14:textId="40B281E6" w:rsidR="006B66A3" w:rsidRPr="004F2CBF" w:rsidRDefault="006B66A3" w:rsidP="00241168">
            <w:pPr>
              <w:spacing w:after="0" w:line="240" w:lineRule="auto"/>
              <w:ind w:left="113"/>
              <w:rPr>
                <w:rFonts w:eastAsia="Times New Roman" w:cs="Times New Roman"/>
                <w:color w:val="000000" w:themeColor="text1"/>
                <w:kern w:val="0"/>
                <w:szCs w:val="24"/>
                <w:lang w:eastAsia="en-GB"/>
                <w14:ligatures w14:val="none"/>
              </w:rPr>
            </w:pPr>
          </w:p>
        </w:tc>
      </w:tr>
      <w:tr w:rsidR="006B66A3" w:rsidRPr="004F2CBF" w14:paraId="795AF396" w14:textId="77777777" w:rsidTr="00241168">
        <w:trPr>
          <w:cantSplit/>
          <w:trHeight w:val="397"/>
        </w:trPr>
        <w:tc>
          <w:tcPr>
            <w:tcW w:w="353" w:type="pct"/>
          </w:tcPr>
          <w:p w14:paraId="0510820C" w14:textId="77777777" w:rsidR="006B66A3" w:rsidRPr="004F2CBF" w:rsidRDefault="008B006D" w:rsidP="00241168">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037735224"/>
                <w14:checkbox>
                  <w14:checked w14:val="0"/>
                  <w14:checkedState w14:val="0052" w14:font="Wingdings 2"/>
                  <w14:uncheckedState w14:val="2610" w14:font="MS Gothic"/>
                </w14:checkbox>
              </w:sdtPr>
              <w:sdtEndPr/>
              <w:sdtContent>
                <w:r w:rsidR="006B66A3">
                  <w:rPr>
                    <w:rFonts w:ascii="MS Gothic" w:eastAsia="MS Gothic" w:hAnsi="MS Gothic" w:cs="Arial" w:hint="eastAsia"/>
                    <w:b/>
                    <w:bCs/>
                    <w:noProof/>
                    <w:color w:val="00B050"/>
                    <w:kern w:val="0"/>
                    <w:sz w:val="48"/>
                    <w:szCs w:val="56"/>
                    <w:lang w:eastAsia="en-GB"/>
                    <w14:ligatures w14:val="none"/>
                  </w:rPr>
                  <w:t>☐</w:t>
                </w:r>
              </w:sdtContent>
            </w:sdt>
          </w:p>
        </w:tc>
        <w:tc>
          <w:tcPr>
            <w:tcW w:w="4013" w:type="pct"/>
          </w:tcPr>
          <w:p w14:paraId="6559BAF5" w14:textId="77777777" w:rsidR="006B66A3" w:rsidRPr="004F2CBF" w:rsidRDefault="006B66A3" w:rsidP="00241168">
            <w:pPr>
              <w:spacing w:after="120" w:line="300" w:lineRule="atLeast"/>
              <w:ind w:left="280" w:hanging="280"/>
              <w:rPr>
                <w:rFonts w:eastAsia="Times New Roman" w:cs="Times New Roman"/>
                <w:noProof/>
                <w:kern w:val="0"/>
                <w:szCs w:val="24"/>
                <w:lang w:eastAsia="en-GB"/>
                <w14:ligatures w14:val="none"/>
              </w:rPr>
            </w:pPr>
            <w:r w:rsidRPr="004F2CBF">
              <w:rPr>
                <w:rFonts w:eastAsia="Times New Roman" w:cs="Times New Roman"/>
                <w:color w:val="000000"/>
                <w:kern w:val="0"/>
                <w:szCs w:val="24"/>
                <w:shd w:val="clear" w:color="auto" w:fill="FFFFFF"/>
                <w:lang w:eastAsia="en-GB"/>
                <w14:ligatures w14:val="none"/>
              </w:rPr>
              <w:t>Compliance with the EU Internal Market Regulation and any relevant legally binding decisions of the European Commission and/or the Agency for the Co-operation of Energy Regulators.</w:t>
            </w:r>
          </w:p>
        </w:tc>
        <w:tc>
          <w:tcPr>
            <w:tcW w:w="634" w:type="pct"/>
          </w:tcPr>
          <w:p w14:paraId="1186BF06" w14:textId="77777777" w:rsidR="006B66A3" w:rsidRPr="004F2CBF" w:rsidRDefault="006B66A3" w:rsidP="00241168">
            <w:pPr>
              <w:spacing w:after="0" w:line="240" w:lineRule="auto"/>
              <w:ind w:left="113"/>
              <w:rPr>
                <w:rFonts w:eastAsia="Times New Roman" w:cs="Times New Roman"/>
                <w:color w:val="000000" w:themeColor="text1"/>
                <w:kern w:val="0"/>
                <w:szCs w:val="24"/>
                <w:lang w:eastAsia="en-GB"/>
                <w14:ligatures w14:val="none"/>
              </w:rPr>
            </w:pPr>
            <w:r w:rsidRPr="00672D79">
              <w:rPr>
                <w:rFonts w:eastAsia="Times New Roman" w:cs="Times New Roman"/>
                <w:color w:val="000000" w:themeColor="text1"/>
                <w:kern w:val="0"/>
                <w:szCs w:val="24"/>
                <w:lang w:eastAsia="en-GB"/>
                <w14:ligatures w14:val="none"/>
              </w:rPr>
              <w:t>None</w:t>
            </w:r>
          </w:p>
        </w:tc>
      </w:tr>
    </w:tbl>
    <w:p w14:paraId="5BF0D9C2" w14:textId="77777777" w:rsidR="006B66A3" w:rsidRDefault="006B66A3" w:rsidP="006B66A3"/>
    <w:p w14:paraId="76E7B489" w14:textId="77777777" w:rsidR="006E6DF0" w:rsidRDefault="00AC465B" w:rsidP="006B66A3">
      <w:pPr>
        <w:pStyle w:val="ListParagraph"/>
        <w:numPr>
          <w:ilvl w:val="1"/>
          <w:numId w:val="2"/>
        </w:numPr>
      </w:pPr>
      <w:r w:rsidRPr="00AC465B">
        <w:t xml:space="preserve">DCUSA General Objective 3 will be better facilitated as it will allow all parties to publish charges based upon the latest available data which will result in less need to address differences year on year due to key factors changing after final charges have been set. </w:t>
      </w:r>
    </w:p>
    <w:p w14:paraId="27ADA79E" w14:textId="77777777" w:rsidR="006E6DF0" w:rsidRDefault="00AC465B" w:rsidP="006B66A3">
      <w:pPr>
        <w:pStyle w:val="ListParagraph"/>
        <w:numPr>
          <w:ilvl w:val="1"/>
          <w:numId w:val="2"/>
        </w:numPr>
      </w:pPr>
      <w:r w:rsidRPr="00AC465B">
        <w:t xml:space="preserve">DCUSA General Objective 2 will be better facilitated as all Suppliers will receive all charges across the various codes based upon the same timescales, providing them all with certainty of the final charges which will apply, which is likely to enhance competition across supply. </w:t>
      </w:r>
    </w:p>
    <w:p w14:paraId="41DEBE18" w14:textId="3205E84D" w:rsidR="006B66A3" w:rsidRDefault="00AC465B" w:rsidP="006B66A3">
      <w:pPr>
        <w:pStyle w:val="ListParagraph"/>
        <w:numPr>
          <w:ilvl w:val="1"/>
          <w:numId w:val="2"/>
        </w:numPr>
      </w:pPr>
      <w:r w:rsidRPr="00AC465B">
        <w:t>DCUSA General Objective 1 and 4 will be better facilitated as a result of publishing final charges after the majority of elements will be finalised, which will reflect the costs incurred by the party setting the charges, to be recovered in that charging year, which is expected to be both more efficient and more economical.</w:t>
      </w:r>
    </w:p>
    <w:p w14:paraId="1FD3FDDE" w14:textId="3967A78F" w:rsidR="00BF295F" w:rsidRDefault="00DB6CD1" w:rsidP="00F40968">
      <w:pPr>
        <w:pStyle w:val="Heading1"/>
      </w:pPr>
      <w:bookmarkStart w:id="6" w:name="_Toc235433072"/>
      <w:r w:rsidRPr="00DB6CD1">
        <w:lastRenderedPageBreak/>
        <w:t>Impacts &amp; Other Considerations</w:t>
      </w:r>
      <w:bookmarkEnd w:id="6"/>
    </w:p>
    <w:p w14:paraId="7854D2F4" w14:textId="41934E4C" w:rsidR="00F87707" w:rsidRPr="00F40968" w:rsidRDefault="004F54A9" w:rsidP="00F40968">
      <w:pPr>
        <w:keepNext/>
        <w:rPr>
          <w:b/>
          <w:bCs/>
          <w:color w:val="008576"/>
        </w:rPr>
      </w:pPr>
      <w:r w:rsidRPr="00F40968">
        <w:rPr>
          <w:b/>
          <w:bCs/>
          <w:color w:val="008576"/>
        </w:rPr>
        <w:t>Impacts on any Significant Code Review (SCR) or other significant industry change projects</w:t>
      </w:r>
    </w:p>
    <w:p w14:paraId="60B4FF9C" w14:textId="7054DF17" w:rsidR="004F54A9" w:rsidRDefault="006E6DF0" w:rsidP="004F2CBF">
      <w:pPr>
        <w:pStyle w:val="ListParagraph"/>
        <w:numPr>
          <w:ilvl w:val="1"/>
          <w:numId w:val="2"/>
        </w:numPr>
      </w:pPr>
      <w:r w:rsidRPr="006E6DF0">
        <w:t>No impact on any SCR</w:t>
      </w:r>
    </w:p>
    <w:p w14:paraId="28B1CBD7" w14:textId="649E1AC8" w:rsidR="004F54A9" w:rsidRPr="00F40968" w:rsidRDefault="008B4036" w:rsidP="004F54A9">
      <w:pPr>
        <w:rPr>
          <w:b/>
          <w:bCs/>
          <w:color w:val="008576"/>
        </w:rPr>
      </w:pPr>
      <w:r w:rsidRPr="00F40968">
        <w:rPr>
          <w:b/>
          <w:bCs/>
          <w:color w:val="008576"/>
        </w:rPr>
        <w:t>Impacts on other Codes</w:t>
      </w:r>
    </w:p>
    <w:p w14:paraId="52CAB0E9" w14:textId="176BAA7C" w:rsidR="004F54A9" w:rsidRDefault="006E6DF0" w:rsidP="004F2CBF">
      <w:pPr>
        <w:pStyle w:val="ListParagraph"/>
        <w:numPr>
          <w:ilvl w:val="1"/>
          <w:numId w:val="2"/>
        </w:numPr>
      </w:pPr>
      <w:r>
        <w:t>CUSC and UNC notice periods will be considered within this CP. Both codes are represented on the DCP 469 working group.</w:t>
      </w:r>
    </w:p>
    <w:p w14:paraId="07806C67" w14:textId="329F78D1" w:rsidR="004F54A9" w:rsidRPr="00F40968" w:rsidRDefault="00574CF4" w:rsidP="00574CF4">
      <w:pPr>
        <w:rPr>
          <w:b/>
          <w:bCs/>
          <w:color w:val="008576"/>
        </w:rPr>
      </w:pPr>
      <w:r w:rsidRPr="00F40968">
        <w:rPr>
          <w:b/>
          <w:bCs/>
          <w:color w:val="008576"/>
        </w:rPr>
        <w:t xml:space="preserve">Consumer Impacts </w:t>
      </w:r>
    </w:p>
    <w:p w14:paraId="6B3A8F62" w14:textId="44E7F9C3" w:rsidR="004F54A9" w:rsidRDefault="006E6DF0" w:rsidP="006E6DF0">
      <w:pPr>
        <w:pStyle w:val="ListParagraph"/>
        <w:numPr>
          <w:ilvl w:val="1"/>
          <w:numId w:val="2"/>
        </w:numPr>
      </w:pPr>
      <w:r>
        <w:t>There will be no direct impact on consumers, but there may be some indirect impact should an agreed upon notice period across the codes result in a shortened notice period coming into place for DUoS charges, then Suppliers may increase their risk premiums.</w:t>
      </w:r>
    </w:p>
    <w:p w14:paraId="2CC1B62B" w14:textId="2AE34335" w:rsidR="004F54A9" w:rsidRPr="00F40968" w:rsidRDefault="00393A3C" w:rsidP="00574CF4">
      <w:pPr>
        <w:rPr>
          <w:b/>
          <w:bCs/>
          <w:color w:val="008576"/>
        </w:rPr>
      </w:pPr>
      <w:r w:rsidRPr="00F40968">
        <w:rPr>
          <w:b/>
          <w:bCs/>
          <w:color w:val="008576"/>
        </w:rPr>
        <w:t xml:space="preserve">Environmental Impacts </w:t>
      </w:r>
    </w:p>
    <w:p w14:paraId="65EDC1F7" w14:textId="77777777" w:rsidR="006E6DF0" w:rsidRDefault="006E6DF0" w:rsidP="004F2CBF">
      <w:pPr>
        <w:pStyle w:val="ListParagraph"/>
        <w:numPr>
          <w:ilvl w:val="1"/>
          <w:numId w:val="2"/>
        </w:numPr>
      </w:pPr>
      <w:r>
        <w:t>In</w:t>
      </w:r>
      <w:r w:rsidRPr="006E6DF0">
        <w:t xml:space="preserve"> accordance with DCUSA Clause 10.4.5A, the Proposer assessed whether there would be a material impact on greenhouse gas emissions if this CP were implemented and that assessment is set out below. </w:t>
      </w:r>
    </w:p>
    <w:p w14:paraId="3F374B5C" w14:textId="420C1E28" w:rsidR="004F54A9" w:rsidRDefault="006E6DF0" w:rsidP="004F2CBF">
      <w:pPr>
        <w:pStyle w:val="ListParagraph"/>
        <w:numPr>
          <w:ilvl w:val="1"/>
          <w:numId w:val="2"/>
        </w:numPr>
      </w:pPr>
      <w:r w:rsidRPr="006E6DF0">
        <w:t>There is no impact on greenhouse gas emissions.</w:t>
      </w:r>
    </w:p>
    <w:p w14:paraId="08F50DC2" w14:textId="183CA6EB" w:rsidR="004F2CBF" w:rsidRPr="00F40968" w:rsidRDefault="00F40968" w:rsidP="00393A3C">
      <w:pPr>
        <w:rPr>
          <w:b/>
          <w:bCs/>
          <w:color w:val="008576"/>
        </w:rPr>
      </w:pPr>
      <w:r w:rsidRPr="00F40968">
        <w:rPr>
          <w:b/>
          <w:bCs/>
          <w:color w:val="008576"/>
        </w:rPr>
        <w:t>Are there any wider industry impacts?</w:t>
      </w:r>
    </w:p>
    <w:p w14:paraId="0DDEBD64" w14:textId="3514556F" w:rsidR="006E6DF0" w:rsidRDefault="006E6DF0" w:rsidP="00BF295F">
      <w:pPr>
        <w:pStyle w:val="ListParagraph"/>
        <w:numPr>
          <w:ilvl w:val="1"/>
          <w:numId w:val="2"/>
        </w:numPr>
      </w:pPr>
      <w:r w:rsidRPr="006E6DF0">
        <w:t>The issue of a</w:t>
      </w:r>
      <w:r>
        <w:t>n</w:t>
      </w:r>
      <w:r w:rsidRPr="006E6DF0">
        <w:t xml:space="preserve"> industry wide review of notice periods for charging has been raised at the DCMDG. </w:t>
      </w:r>
    </w:p>
    <w:p w14:paraId="56025644" w14:textId="40D6DCBB" w:rsidR="00BF295F" w:rsidRDefault="006E6DF0" w:rsidP="00BF295F">
      <w:pPr>
        <w:pStyle w:val="ListParagraph"/>
        <w:numPr>
          <w:ilvl w:val="1"/>
          <w:numId w:val="2"/>
        </w:numPr>
      </w:pPr>
      <w:r w:rsidRPr="006E6DF0">
        <w:t>Aligning the setting and publishing of charges across industry codes is in line with the thinking behind code reform and code consolidation.</w:t>
      </w:r>
    </w:p>
    <w:p w14:paraId="002D05CF" w14:textId="3D40C4EA" w:rsidR="00BF295F" w:rsidRDefault="00DB6CD1" w:rsidP="00BF295F">
      <w:pPr>
        <w:pStyle w:val="Heading1"/>
      </w:pPr>
      <w:bookmarkStart w:id="7" w:name="_Toc235433073"/>
      <w:r>
        <w:t>Implementation</w:t>
      </w:r>
      <w:bookmarkEnd w:id="7"/>
    </w:p>
    <w:p w14:paraId="05D05A58" w14:textId="1498E59C" w:rsidR="00BF295F" w:rsidRDefault="006E6DF0" w:rsidP="006E6DF0">
      <w:pPr>
        <w:pStyle w:val="ListParagraph"/>
        <w:numPr>
          <w:ilvl w:val="1"/>
          <w:numId w:val="2"/>
        </w:numPr>
      </w:pPr>
      <w:r w:rsidRPr="006E6DF0">
        <w:t>Ideally to take effect for the setting of charges effective for 2028/29. Due to the variety of different notice periods currently in place, this will likely result in different implementation dates being required in the different codes.</w:t>
      </w:r>
    </w:p>
    <w:p w14:paraId="6D91772E" w14:textId="2BD49167" w:rsidR="00BF295F" w:rsidRDefault="00DB6CD1" w:rsidP="00BF295F">
      <w:pPr>
        <w:pStyle w:val="Heading1"/>
      </w:pPr>
      <w:bookmarkStart w:id="8" w:name="_Toc235433074"/>
      <w:r>
        <w:t>Legal Text</w:t>
      </w:r>
      <w:bookmarkEnd w:id="8"/>
    </w:p>
    <w:p w14:paraId="2D5582B1" w14:textId="3E8508DB" w:rsidR="00BF295F" w:rsidRDefault="006E6DF0" w:rsidP="006E6DF0">
      <w:pPr>
        <w:pStyle w:val="ListParagraph"/>
        <w:numPr>
          <w:ilvl w:val="1"/>
          <w:numId w:val="2"/>
        </w:numPr>
      </w:pPr>
      <w:r>
        <w:t>To be completed.</w:t>
      </w:r>
    </w:p>
    <w:p w14:paraId="00941F67" w14:textId="4790F223" w:rsidR="00BF295F" w:rsidRDefault="00DB6CD1" w:rsidP="00BF295F">
      <w:pPr>
        <w:pStyle w:val="Heading1"/>
      </w:pPr>
      <w:bookmarkStart w:id="9" w:name="_Toc235433075"/>
      <w:r>
        <w:t>Consultation Questions</w:t>
      </w:r>
      <w:bookmarkEnd w:id="9"/>
    </w:p>
    <w:p w14:paraId="6EA7AFAD" w14:textId="457067E8" w:rsidR="001A4F40" w:rsidRPr="001A4F40" w:rsidRDefault="001A4F40" w:rsidP="001A4F40">
      <w:pPr>
        <w:pStyle w:val="ListParagraph"/>
        <w:numPr>
          <w:ilvl w:val="1"/>
          <w:numId w:val="2"/>
        </w:numPr>
      </w:pPr>
      <w:r>
        <w:t xml:space="preserve">The </w:t>
      </w:r>
      <w:r w:rsidRPr="001A4F40">
        <w:t xml:space="preserve">Working Group is seeking industry views on the following consultation </w:t>
      </w:r>
      <w:commentRangeStart w:id="10"/>
      <w:r w:rsidRPr="001A4F40">
        <w:t>questions</w:t>
      </w:r>
      <w:commentRangeEnd w:id="10"/>
      <w:r w:rsidR="006E6DF0" w:rsidRPr="001A4F40">
        <w:rPr>
          <w:rStyle w:val="CommentReference"/>
          <w:sz w:val="20"/>
          <w:szCs w:val="22"/>
        </w:rPr>
        <w:commentReference w:id="10"/>
      </w:r>
      <w:r w:rsidRPr="001A4F40">
        <w:t>:</w:t>
      </w:r>
    </w:p>
    <w:tbl>
      <w:tblPr>
        <w:tblStyle w:val="TableGrid"/>
        <w:tblW w:w="0" w:type="auto"/>
        <w:tblCellMar>
          <w:top w:w="57" w:type="dxa"/>
          <w:bottom w:w="57" w:type="dxa"/>
        </w:tblCellMar>
        <w:tblLook w:val="04A0" w:firstRow="1" w:lastRow="0" w:firstColumn="1" w:lastColumn="0" w:noHBand="0" w:noVBand="1"/>
      </w:tblPr>
      <w:tblGrid>
        <w:gridCol w:w="1129"/>
        <w:gridCol w:w="8499"/>
      </w:tblGrid>
      <w:tr w:rsidR="00807509" w14:paraId="74CC8ADD" w14:textId="77777777" w:rsidTr="00D1247E">
        <w:tc>
          <w:tcPr>
            <w:tcW w:w="1129" w:type="dxa"/>
            <w:shd w:val="clear" w:color="auto" w:fill="BDD6EE"/>
          </w:tcPr>
          <w:p w14:paraId="5083C0D9" w14:textId="6C85C693" w:rsidR="00807509" w:rsidRPr="00D1247E" w:rsidRDefault="00807509" w:rsidP="00783B7B">
            <w:pPr>
              <w:rPr>
                <w:b/>
                <w:bCs/>
                <w:sz w:val="22"/>
                <w:szCs w:val="24"/>
              </w:rPr>
            </w:pPr>
            <w:r w:rsidRPr="00D1247E">
              <w:rPr>
                <w:b/>
                <w:bCs/>
                <w:sz w:val="22"/>
                <w:szCs w:val="24"/>
              </w:rPr>
              <w:t>No.</w:t>
            </w:r>
          </w:p>
        </w:tc>
        <w:tc>
          <w:tcPr>
            <w:tcW w:w="8499" w:type="dxa"/>
            <w:shd w:val="clear" w:color="auto" w:fill="BDD6EE"/>
          </w:tcPr>
          <w:p w14:paraId="698A2C26" w14:textId="55E485F7" w:rsidR="00807509" w:rsidRPr="00D1247E" w:rsidRDefault="00807509" w:rsidP="00807509">
            <w:pPr>
              <w:rPr>
                <w:b/>
                <w:bCs/>
                <w:sz w:val="22"/>
                <w:szCs w:val="24"/>
              </w:rPr>
            </w:pPr>
            <w:r w:rsidRPr="00D1247E">
              <w:rPr>
                <w:b/>
                <w:bCs/>
                <w:sz w:val="22"/>
                <w:szCs w:val="24"/>
              </w:rPr>
              <w:t>Question</w:t>
            </w:r>
          </w:p>
        </w:tc>
      </w:tr>
      <w:tr w:rsidR="00807509" w14:paraId="67CDA7F4" w14:textId="77777777" w:rsidTr="00D1247E">
        <w:tc>
          <w:tcPr>
            <w:tcW w:w="1129" w:type="dxa"/>
          </w:tcPr>
          <w:p w14:paraId="0CC8B57E" w14:textId="77777777" w:rsidR="00807509" w:rsidRDefault="00807509" w:rsidP="00783B7B">
            <w:pPr>
              <w:pStyle w:val="ListParagraph"/>
              <w:numPr>
                <w:ilvl w:val="0"/>
                <w:numId w:val="5"/>
              </w:numPr>
              <w:jc w:val="center"/>
            </w:pPr>
          </w:p>
        </w:tc>
        <w:tc>
          <w:tcPr>
            <w:tcW w:w="8499" w:type="dxa"/>
          </w:tcPr>
          <w:p w14:paraId="0AE755A7" w14:textId="77777777" w:rsidR="00807509" w:rsidRDefault="00807509" w:rsidP="00807509"/>
        </w:tc>
      </w:tr>
      <w:tr w:rsidR="00D1247E" w14:paraId="49333AE4" w14:textId="77777777" w:rsidTr="00D1247E">
        <w:tc>
          <w:tcPr>
            <w:tcW w:w="1129" w:type="dxa"/>
          </w:tcPr>
          <w:p w14:paraId="2DBD868C" w14:textId="77777777" w:rsidR="00D1247E" w:rsidRDefault="00D1247E" w:rsidP="00783B7B">
            <w:pPr>
              <w:pStyle w:val="ListParagraph"/>
              <w:numPr>
                <w:ilvl w:val="0"/>
                <w:numId w:val="5"/>
              </w:numPr>
              <w:jc w:val="center"/>
            </w:pPr>
          </w:p>
        </w:tc>
        <w:tc>
          <w:tcPr>
            <w:tcW w:w="8499" w:type="dxa"/>
          </w:tcPr>
          <w:p w14:paraId="5ADF725D" w14:textId="77777777" w:rsidR="00D1247E" w:rsidRDefault="00D1247E" w:rsidP="00807509"/>
        </w:tc>
      </w:tr>
      <w:tr w:rsidR="00D1247E" w14:paraId="612B9A0D" w14:textId="77777777" w:rsidTr="00D1247E">
        <w:tc>
          <w:tcPr>
            <w:tcW w:w="1129" w:type="dxa"/>
          </w:tcPr>
          <w:p w14:paraId="114CA166" w14:textId="77777777" w:rsidR="00D1247E" w:rsidRDefault="00D1247E" w:rsidP="00783B7B">
            <w:pPr>
              <w:pStyle w:val="ListParagraph"/>
              <w:numPr>
                <w:ilvl w:val="0"/>
                <w:numId w:val="5"/>
              </w:numPr>
              <w:jc w:val="center"/>
            </w:pPr>
          </w:p>
        </w:tc>
        <w:tc>
          <w:tcPr>
            <w:tcW w:w="8499" w:type="dxa"/>
          </w:tcPr>
          <w:p w14:paraId="43D86F1E" w14:textId="77777777" w:rsidR="00D1247E" w:rsidRDefault="00D1247E" w:rsidP="00807509"/>
        </w:tc>
      </w:tr>
      <w:tr w:rsidR="00D1247E" w14:paraId="5E19110E" w14:textId="77777777" w:rsidTr="00D1247E">
        <w:tc>
          <w:tcPr>
            <w:tcW w:w="1129" w:type="dxa"/>
          </w:tcPr>
          <w:p w14:paraId="38A04E70" w14:textId="77777777" w:rsidR="00D1247E" w:rsidRDefault="00D1247E" w:rsidP="00783B7B">
            <w:pPr>
              <w:pStyle w:val="ListParagraph"/>
              <w:numPr>
                <w:ilvl w:val="0"/>
                <w:numId w:val="5"/>
              </w:numPr>
              <w:jc w:val="center"/>
            </w:pPr>
          </w:p>
        </w:tc>
        <w:tc>
          <w:tcPr>
            <w:tcW w:w="8499" w:type="dxa"/>
          </w:tcPr>
          <w:p w14:paraId="78EE03EA" w14:textId="77777777" w:rsidR="00D1247E" w:rsidRDefault="00D1247E" w:rsidP="00807509"/>
        </w:tc>
      </w:tr>
      <w:tr w:rsidR="00D1247E" w14:paraId="2C273BF1" w14:textId="77777777" w:rsidTr="00D1247E">
        <w:tc>
          <w:tcPr>
            <w:tcW w:w="1129" w:type="dxa"/>
          </w:tcPr>
          <w:p w14:paraId="620739C8" w14:textId="77777777" w:rsidR="00D1247E" w:rsidRDefault="00D1247E" w:rsidP="00783B7B">
            <w:pPr>
              <w:pStyle w:val="ListParagraph"/>
              <w:numPr>
                <w:ilvl w:val="0"/>
                <w:numId w:val="5"/>
              </w:numPr>
              <w:jc w:val="center"/>
            </w:pPr>
          </w:p>
        </w:tc>
        <w:tc>
          <w:tcPr>
            <w:tcW w:w="8499" w:type="dxa"/>
          </w:tcPr>
          <w:p w14:paraId="4A409F2C" w14:textId="77777777" w:rsidR="00D1247E" w:rsidRDefault="00D1247E" w:rsidP="00807509"/>
        </w:tc>
      </w:tr>
      <w:tr w:rsidR="00D1247E" w14:paraId="60CFA49B" w14:textId="77777777" w:rsidTr="00D1247E">
        <w:tc>
          <w:tcPr>
            <w:tcW w:w="1129" w:type="dxa"/>
          </w:tcPr>
          <w:p w14:paraId="7B70DEFB" w14:textId="77777777" w:rsidR="00D1247E" w:rsidRDefault="00D1247E" w:rsidP="00783B7B">
            <w:pPr>
              <w:pStyle w:val="ListParagraph"/>
              <w:numPr>
                <w:ilvl w:val="0"/>
                <w:numId w:val="5"/>
              </w:numPr>
              <w:jc w:val="center"/>
            </w:pPr>
          </w:p>
        </w:tc>
        <w:tc>
          <w:tcPr>
            <w:tcW w:w="8499" w:type="dxa"/>
          </w:tcPr>
          <w:p w14:paraId="34274004" w14:textId="77777777" w:rsidR="00D1247E" w:rsidRDefault="00D1247E" w:rsidP="00807509"/>
        </w:tc>
      </w:tr>
      <w:tr w:rsidR="00D1247E" w14:paraId="7EFECBC6" w14:textId="77777777" w:rsidTr="00D1247E">
        <w:tc>
          <w:tcPr>
            <w:tcW w:w="1129" w:type="dxa"/>
          </w:tcPr>
          <w:p w14:paraId="42B1EC53" w14:textId="77777777" w:rsidR="00D1247E" w:rsidRDefault="00D1247E" w:rsidP="00783B7B">
            <w:pPr>
              <w:pStyle w:val="ListParagraph"/>
              <w:numPr>
                <w:ilvl w:val="0"/>
                <w:numId w:val="5"/>
              </w:numPr>
              <w:jc w:val="center"/>
            </w:pPr>
          </w:p>
        </w:tc>
        <w:tc>
          <w:tcPr>
            <w:tcW w:w="8499" w:type="dxa"/>
          </w:tcPr>
          <w:p w14:paraId="3EC3F79B" w14:textId="77777777" w:rsidR="00D1247E" w:rsidRDefault="00D1247E" w:rsidP="00807509"/>
        </w:tc>
      </w:tr>
      <w:tr w:rsidR="00D1247E" w14:paraId="4A883099" w14:textId="77777777" w:rsidTr="00D1247E">
        <w:tc>
          <w:tcPr>
            <w:tcW w:w="1129" w:type="dxa"/>
          </w:tcPr>
          <w:p w14:paraId="52E7BE16" w14:textId="77777777" w:rsidR="00D1247E" w:rsidRDefault="00D1247E" w:rsidP="00783B7B">
            <w:pPr>
              <w:pStyle w:val="ListParagraph"/>
              <w:numPr>
                <w:ilvl w:val="0"/>
                <w:numId w:val="5"/>
              </w:numPr>
              <w:jc w:val="center"/>
            </w:pPr>
          </w:p>
        </w:tc>
        <w:tc>
          <w:tcPr>
            <w:tcW w:w="8499" w:type="dxa"/>
          </w:tcPr>
          <w:p w14:paraId="1F744502" w14:textId="77777777" w:rsidR="00D1247E" w:rsidRDefault="00D1247E" w:rsidP="00807509"/>
        </w:tc>
      </w:tr>
    </w:tbl>
    <w:p w14:paraId="49B02BD3" w14:textId="6851BA8D" w:rsidR="00BF295F" w:rsidRDefault="00BF295F" w:rsidP="00705BEE"/>
    <w:p w14:paraId="3052B4A4" w14:textId="16CCCE84" w:rsidR="00BF295F" w:rsidRDefault="00DB6CD1" w:rsidP="00BF295F">
      <w:pPr>
        <w:pStyle w:val="Heading1"/>
      </w:pPr>
      <w:bookmarkStart w:id="11" w:name="_Toc235433076"/>
      <w:r>
        <w:t>Attachments</w:t>
      </w:r>
      <w:bookmarkEnd w:id="11"/>
    </w:p>
    <w:p w14:paraId="6FE8D755" w14:textId="4451DBCF" w:rsidR="00BF295F" w:rsidRDefault="00BF295F" w:rsidP="00BF295F">
      <w:pPr>
        <w:pStyle w:val="ListParagraph"/>
        <w:numPr>
          <w:ilvl w:val="1"/>
          <w:numId w:val="2"/>
        </w:numPr>
      </w:pPr>
    </w:p>
    <w:p w14:paraId="56558F44" w14:textId="10E7233D" w:rsidR="00BF295F" w:rsidRDefault="00BF295F" w:rsidP="00BF295F">
      <w:pPr>
        <w:pStyle w:val="ListParagraph"/>
        <w:numPr>
          <w:ilvl w:val="1"/>
          <w:numId w:val="2"/>
        </w:numPr>
      </w:pPr>
    </w:p>
    <w:p w14:paraId="2B660004" w14:textId="7F2BC547" w:rsidR="00BF295F" w:rsidRDefault="00BF295F" w:rsidP="00BF295F">
      <w:pPr>
        <w:pStyle w:val="ListParagraph"/>
        <w:numPr>
          <w:ilvl w:val="1"/>
          <w:numId w:val="2"/>
        </w:numPr>
      </w:pPr>
    </w:p>
    <w:p w14:paraId="791CEF56" w14:textId="77777777" w:rsidR="00BF295F" w:rsidRDefault="00BF295F" w:rsidP="00BF295F"/>
    <w:sectPr w:rsidR="00BF295F" w:rsidSect="00A46135">
      <w:headerReference w:type="default" r:id="rId27"/>
      <w:footerReference w:type="default" r:id="rId28"/>
      <w:headerReference w:type="first" r:id="rId29"/>
      <w:pgSz w:w="11906" w:h="16838" w:code="9"/>
      <w:pgMar w:top="1418" w:right="1134" w:bottom="1134" w:left="1134" w:header="454" w:footer="47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Richard Colwill" w:date="2026-07-03T12:03:00Z" w:initials="RC">
    <w:p w14:paraId="058CC686" w14:textId="77777777" w:rsidR="00D36FA7" w:rsidRDefault="00D36FA7" w:rsidP="00D36FA7">
      <w:pPr>
        <w:pStyle w:val="CommentText"/>
      </w:pPr>
      <w:r>
        <w:rPr>
          <w:rStyle w:val="CommentReference"/>
        </w:rPr>
        <w:annotationRef/>
      </w:r>
      <w:r>
        <w:t>Review at end</w:t>
      </w:r>
    </w:p>
  </w:comment>
  <w:comment w:id="10" w:author="Richard Colwill" w:date="2026-07-03T14:11:00Z" w:initials="RC">
    <w:p w14:paraId="10B1938D" w14:textId="77777777" w:rsidR="006E6DF0" w:rsidRDefault="006E6DF0" w:rsidP="006E6DF0">
      <w:pPr>
        <w:pStyle w:val="CommentText"/>
      </w:pPr>
      <w:r>
        <w:rPr>
          <w:rStyle w:val="CommentReference"/>
        </w:rPr>
        <w:annotationRef/>
      </w:r>
      <w:r>
        <w:t xml:space="preserve">To be agreed.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8CC686" w15:done="0"/>
  <w15:commentEx w15:paraId="10B193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9F4C07" w16cex:dateUtc="2026-07-03T11:03:00Z"/>
  <w16cex:commentExtensible w16cex:durableId="4640419D" w16cex:dateUtc="2026-07-03T1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8CC686" w16cid:durableId="5B9F4C07"/>
  <w16cid:commentId w16cid:paraId="10B1938D" w16cid:durableId="464041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E15E6" w14:textId="77777777" w:rsidR="008B006D" w:rsidRDefault="008B006D" w:rsidP="00A46135">
      <w:pPr>
        <w:spacing w:after="0" w:line="240" w:lineRule="auto"/>
      </w:pPr>
      <w:r>
        <w:separator/>
      </w:r>
    </w:p>
  </w:endnote>
  <w:endnote w:type="continuationSeparator" w:id="0">
    <w:p w14:paraId="09F4B9FD" w14:textId="77777777" w:rsidR="008B006D" w:rsidRDefault="008B006D" w:rsidP="00A46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4955435"/>
      <w:docPartObj>
        <w:docPartGallery w:val="Page Numbers (Bottom of Page)"/>
        <w:docPartUnique/>
      </w:docPartObj>
    </w:sdtPr>
    <w:sdtEndPr>
      <w:rPr>
        <w:rFonts w:cs="Arial"/>
        <w:sz w:val="16"/>
        <w:szCs w:val="16"/>
      </w:rPr>
    </w:sdtEndPr>
    <w:sdtContent>
      <w:sdt>
        <w:sdtPr>
          <w:rPr>
            <w:rFonts w:cs="Arial"/>
            <w:sz w:val="16"/>
            <w:szCs w:val="16"/>
          </w:rPr>
          <w:id w:val="1728636285"/>
          <w:docPartObj>
            <w:docPartGallery w:val="Page Numbers (Top of Page)"/>
            <w:docPartUnique/>
          </w:docPartObj>
        </w:sdtPr>
        <w:sdtEndPr/>
        <w:sdtContent>
          <w:p w14:paraId="68E031BC" w14:textId="233B0821" w:rsidR="00103651" w:rsidRPr="00227B26" w:rsidRDefault="004B0ED6" w:rsidP="004B0ED6">
            <w:pPr>
              <w:pStyle w:val="Footer"/>
              <w:tabs>
                <w:tab w:val="clear" w:pos="4513"/>
                <w:tab w:val="clear" w:pos="9026"/>
                <w:tab w:val="center" w:pos="4820"/>
                <w:tab w:val="right" w:pos="9638"/>
              </w:tabs>
              <w:rPr>
                <w:rFonts w:cs="Arial"/>
                <w:sz w:val="16"/>
                <w:szCs w:val="16"/>
              </w:rPr>
            </w:pPr>
            <w:r w:rsidRPr="004B0ED6">
              <w:rPr>
                <w:rFonts w:cs="Arial"/>
                <w:sz w:val="16"/>
                <w:szCs w:val="16"/>
              </w:rPr>
              <w:t>©2026 All Rights Reserved</w:t>
            </w:r>
            <w:r w:rsidR="00BE3C37" w:rsidRPr="00227B26">
              <w:rPr>
                <w:rFonts w:cs="Arial"/>
                <w:sz w:val="16"/>
                <w:szCs w:val="16"/>
              </w:rPr>
              <w:tab/>
            </w:r>
            <w:r w:rsidR="00C157EA" w:rsidRPr="00227B26">
              <w:rPr>
                <w:rFonts w:cs="Arial"/>
                <w:sz w:val="16"/>
                <w:szCs w:val="16"/>
              </w:rPr>
              <w:t xml:space="preserve">Page </w:t>
            </w:r>
            <w:r w:rsidR="00C157EA" w:rsidRPr="00227B26">
              <w:rPr>
                <w:rFonts w:cs="Arial"/>
                <w:b/>
                <w:bCs/>
                <w:sz w:val="18"/>
                <w:szCs w:val="18"/>
              </w:rPr>
              <w:fldChar w:fldCharType="begin"/>
            </w:r>
            <w:r w:rsidR="00C157EA" w:rsidRPr="00227B26">
              <w:rPr>
                <w:rFonts w:cs="Arial"/>
                <w:b/>
                <w:bCs/>
                <w:sz w:val="16"/>
                <w:szCs w:val="16"/>
              </w:rPr>
              <w:instrText xml:space="preserve"> PAGE </w:instrText>
            </w:r>
            <w:r w:rsidR="00C157EA" w:rsidRPr="00227B26">
              <w:rPr>
                <w:rFonts w:cs="Arial"/>
                <w:b/>
                <w:bCs/>
                <w:sz w:val="18"/>
                <w:szCs w:val="18"/>
              </w:rPr>
              <w:fldChar w:fldCharType="separate"/>
            </w:r>
            <w:r w:rsidR="00C157EA" w:rsidRPr="00227B26">
              <w:rPr>
                <w:rFonts w:cs="Arial"/>
                <w:b/>
                <w:bCs/>
                <w:noProof/>
                <w:sz w:val="16"/>
                <w:szCs w:val="16"/>
              </w:rPr>
              <w:t>2</w:t>
            </w:r>
            <w:r w:rsidR="00C157EA" w:rsidRPr="00227B26">
              <w:rPr>
                <w:rFonts w:cs="Arial"/>
                <w:b/>
                <w:bCs/>
                <w:sz w:val="18"/>
                <w:szCs w:val="18"/>
              </w:rPr>
              <w:fldChar w:fldCharType="end"/>
            </w:r>
            <w:r w:rsidR="00C157EA" w:rsidRPr="00227B26">
              <w:rPr>
                <w:rFonts w:cs="Arial"/>
                <w:sz w:val="16"/>
                <w:szCs w:val="16"/>
              </w:rPr>
              <w:t xml:space="preserve"> of </w:t>
            </w:r>
            <w:r w:rsidR="00C157EA" w:rsidRPr="00227B26">
              <w:rPr>
                <w:rFonts w:cs="Arial"/>
                <w:b/>
                <w:bCs/>
                <w:sz w:val="18"/>
                <w:szCs w:val="18"/>
              </w:rPr>
              <w:fldChar w:fldCharType="begin"/>
            </w:r>
            <w:r w:rsidR="00C157EA" w:rsidRPr="00227B26">
              <w:rPr>
                <w:rFonts w:cs="Arial"/>
                <w:b/>
                <w:bCs/>
                <w:sz w:val="16"/>
                <w:szCs w:val="16"/>
              </w:rPr>
              <w:instrText xml:space="preserve"> NUMPAGES  </w:instrText>
            </w:r>
            <w:r w:rsidR="00C157EA" w:rsidRPr="00227B26">
              <w:rPr>
                <w:rFonts w:cs="Arial"/>
                <w:b/>
                <w:bCs/>
                <w:sz w:val="18"/>
                <w:szCs w:val="18"/>
              </w:rPr>
              <w:fldChar w:fldCharType="separate"/>
            </w:r>
            <w:r w:rsidR="00C157EA" w:rsidRPr="00227B26">
              <w:rPr>
                <w:rFonts w:cs="Arial"/>
                <w:b/>
                <w:bCs/>
                <w:noProof/>
                <w:sz w:val="16"/>
                <w:szCs w:val="16"/>
              </w:rPr>
              <w:t>2</w:t>
            </w:r>
            <w:r w:rsidR="00C157EA" w:rsidRPr="00227B26">
              <w:rPr>
                <w:rFonts w:cs="Arial"/>
                <w:b/>
                <w:bCs/>
                <w:sz w:val="18"/>
                <w:szCs w:val="18"/>
              </w:rPr>
              <w:fldChar w:fldCharType="end"/>
            </w:r>
            <w:r w:rsidR="00BE3C37" w:rsidRPr="00227B26">
              <w:rPr>
                <w:rFonts w:cs="Arial"/>
                <w:b/>
                <w:bCs/>
                <w:sz w:val="18"/>
                <w:szCs w:val="18"/>
              </w:rPr>
              <w:tab/>
            </w:r>
            <w:r w:rsidR="000C1DBE" w:rsidRPr="00227B26">
              <w:rPr>
                <w:rFonts w:cs="Arial"/>
                <w:sz w:val="18"/>
                <w:szCs w:val="18"/>
              </w:rPr>
              <w:t>Version 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BBBF9" w14:textId="77777777" w:rsidR="008B006D" w:rsidRDefault="008B006D" w:rsidP="00A46135">
      <w:pPr>
        <w:spacing w:after="0" w:line="240" w:lineRule="auto"/>
      </w:pPr>
      <w:r>
        <w:separator/>
      </w:r>
    </w:p>
  </w:footnote>
  <w:footnote w:type="continuationSeparator" w:id="0">
    <w:p w14:paraId="0B603482" w14:textId="77777777" w:rsidR="008B006D" w:rsidRDefault="008B006D" w:rsidP="00A461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C9C57" w14:textId="44565177" w:rsidR="00A46135" w:rsidRDefault="00A46135">
    <w:pPr>
      <w:pStyle w:val="Header"/>
    </w:pPr>
    <w:r>
      <w:rPr>
        <w:noProof/>
      </w:rPr>
      <w:drawing>
        <wp:anchor distT="0" distB="0" distL="114300" distR="114300" simplePos="0" relativeHeight="251661312" behindDoc="0" locked="0" layoutInCell="1" allowOverlap="1" wp14:anchorId="3E800C2F" wp14:editId="2BD928C3">
          <wp:simplePos x="0" y="0"/>
          <wp:positionH relativeFrom="margin">
            <wp:posOffset>3944311</wp:posOffset>
          </wp:positionH>
          <wp:positionV relativeFrom="paragraph">
            <wp:posOffset>-192903</wp:posOffset>
          </wp:positionV>
          <wp:extent cx="2317750" cy="784860"/>
          <wp:effectExtent l="0" t="0" r="6350" b="0"/>
          <wp:wrapNone/>
          <wp:docPr id="2663849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02954" w14:textId="2DA75894" w:rsidR="00A46135" w:rsidRDefault="00A46135">
    <w:pPr>
      <w:pStyle w:val="Header"/>
    </w:pPr>
    <w:r>
      <w:rPr>
        <w:noProof/>
      </w:rPr>
      <w:drawing>
        <wp:anchor distT="0" distB="0" distL="114300" distR="114300" simplePos="0" relativeHeight="251659264" behindDoc="0" locked="0" layoutInCell="1" allowOverlap="1" wp14:anchorId="07FDFBA3" wp14:editId="4D54ABF9">
          <wp:simplePos x="0" y="0"/>
          <wp:positionH relativeFrom="margin">
            <wp:align>right</wp:align>
          </wp:positionH>
          <wp:positionV relativeFrom="paragraph">
            <wp:posOffset>-25349</wp:posOffset>
          </wp:positionV>
          <wp:extent cx="2317750" cy="784860"/>
          <wp:effectExtent l="0" t="0" r="6350" b="0"/>
          <wp:wrapNone/>
          <wp:docPr id="129313248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52621"/>
    <w:multiLevelType w:val="multilevel"/>
    <w:tmpl w:val="046624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ED676B"/>
    <w:multiLevelType w:val="multilevel"/>
    <w:tmpl w:val="61CC5C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D27029"/>
    <w:multiLevelType w:val="multilevel"/>
    <w:tmpl w:val="34F03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9F1898"/>
    <w:multiLevelType w:val="multilevel"/>
    <w:tmpl w:val="44B64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3D0023"/>
    <w:multiLevelType w:val="multilevel"/>
    <w:tmpl w:val="EF867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BF6A51"/>
    <w:multiLevelType w:val="multilevel"/>
    <w:tmpl w:val="C76873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E450D4"/>
    <w:multiLevelType w:val="multilevel"/>
    <w:tmpl w:val="5B88F5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B11EF3"/>
    <w:multiLevelType w:val="multilevel"/>
    <w:tmpl w:val="0CDE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C6F72"/>
    <w:multiLevelType w:val="multilevel"/>
    <w:tmpl w:val="5490A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3D790E"/>
    <w:multiLevelType w:val="multilevel"/>
    <w:tmpl w:val="E38E5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E14AD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3162E55"/>
    <w:multiLevelType w:val="multilevel"/>
    <w:tmpl w:val="593CB5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E62BDE"/>
    <w:multiLevelType w:val="multilevel"/>
    <w:tmpl w:val="391A1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FC41DAD"/>
    <w:multiLevelType w:val="multilevel"/>
    <w:tmpl w:val="349241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DC54C0"/>
    <w:multiLevelType w:val="multilevel"/>
    <w:tmpl w:val="1B887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2743F7"/>
    <w:multiLevelType w:val="multilevel"/>
    <w:tmpl w:val="33968B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82A2CAE"/>
    <w:multiLevelType w:val="multilevel"/>
    <w:tmpl w:val="8F5AF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8F40E02"/>
    <w:multiLevelType w:val="multilevel"/>
    <w:tmpl w:val="48B6F0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C4D7BA9"/>
    <w:multiLevelType w:val="multilevel"/>
    <w:tmpl w:val="CDA83D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CBD22FA"/>
    <w:multiLevelType w:val="multilevel"/>
    <w:tmpl w:val="163A1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F9F4DB5"/>
    <w:multiLevelType w:val="hybridMultilevel"/>
    <w:tmpl w:val="C1904E00"/>
    <w:lvl w:ilvl="0" w:tplc="CEA41F22">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9C241A"/>
    <w:multiLevelType w:val="multilevel"/>
    <w:tmpl w:val="707A9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A451FA"/>
    <w:multiLevelType w:val="multilevel"/>
    <w:tmpl w:val="4C360D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013768C"/>
    <w:multiLevelType w:val="multilevel"/>
    <w:tmpl w:val="5BA65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A713D2"/>
    <w:multiLevelType w:val="multilevel"/>
    <w:tmpl w:val="28F4A7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B1F6121"/>
    <w:multiLevelType w:val="multilevel"/>
    <w:tmpl w:val="D87C88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D1B735E"/>
    <w:multiLevelType w:val="multilevel"/>
    <w:tmpl w:val="79FACB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DCD29A8"/>
    <w:multiLevelType w:val="multilevel"/>
    <w:tmpl w:val="72ACC4B2"/>
    <w:lvl w:ilvl="0">
      <w:start w:val="1"/>
      <w:numFmt w:val="decimal"/>
      <w:pStyle w:val="Heading1"/>
      <w:lvlText w:val="%1"/>
      <w:lvlJc w:val="left"/>
      <w:pPr>
        <w:ind w:left="567" w:hanging="567"/>
      </w:pPr>
      <w:rPr>
        <w:rFonts w:ascii="Arial" w:hAnsi="Arial" w:hint="default"/>
      </w:rPr>
    </w:lvl>
    <w:lvl w:ilvl="1">
      <w:start w:val="1"/>
      <w:numFmt w:val="decimal"/>
      <w:lvlText w:val="%1.%2"/>
      <w:lvlJc w:val="left"/>
      <w:pPr>
        <w:ind w:left="567" w:hanging="567"/>
      </w:pPr>
      <w:rPr>
        <w:rFonts w:ascii="Arial" w:hAnsi="Arial" w:hint="default"/>
      </w:rPr>
    </w:lvl>
    <w:lvl w:ilvl="2">
      <w:start w:val="1"/>
      <w:numFmt w:val="decimal"/>
      <w:lvlText w:val="%1.%2.%3"/>
      <w:lvlJc w:val="left"/>
      <w:pPr>
        <w:ind w:left="1276" w:hanging="709"/>
      </w:pPr>
      <w:rPr>
        <w:rFonts w:ascii="Arial" w:hAnsi="Arial" w:hint="default"/>
      </w:rPr>
    </w:lvl>
    <w:lvl w:ilvl="3">
      <w:start w:val="1"/>
      <w:numFmt w:val="decimal"/>
      <w:lvlText w:val="%1.%2.%3.%4"/>
      <w:lvlJc w:val="left"/>
      <w:pPr>
        <w:ind w:left="2126" w:hanging="850"/>
      </w:pPr>
      <w:rPr>
        <w:rFonts w:ascii="Arial" w:hAnsi="Aria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FE445B3"/>
    <w:multiLevelType w:val="multilevel"/>
    <w:tmpl w:val="74242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38D394D"/>
    <w:multiLevelType w:val="multilevel"/>
    <w:tmpl w:val="DD188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507DF8"/>
    <w:multiLevelType w:val="multilevel"/>
    <w:tmpl w:val="CADCD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7A2780"/>
    <w:multiLevelType w:val="multilevel"/>
    <w:tmpl w:val="45F663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3337"/>
        </w:tabs>
        <w:ind w:left="3337"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D0202AF"/>
    <w:multiLevelType w:val="multilevel"/>
    <w:tmpl w:val="3698AC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D213AA9"/>
    <w:multiLevelType w:val="multilevel"/>
    <w:tmpl w:val="49EC5E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F1B7106"/>
    <w:multiLevelType w:val="multilevel"/>
    <w:tmpl w:val="6B563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18225259">
    <w:abstractNumId w:val="10"/>
  </w:num>
  <w:num w:numId="2" w16cid:durableId="439377418">
    <w:abstractNumId w:val="28"/>
  </w:num>
  <w:num w:numId="3" w16cid:durableId="1580410541">
    <w:abstractNumId w:val="13"/>
  </w:num>
  <w:num w:numId="4" w16cid:durableId="9125909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96222">
    <w:abstractNumId w:val="21"/>
  </w:num>
  <w:num w:numId="6" w16cid:durableId="129177275">
    <w:abstractNumId w:val="15"/>
  </w:num>
  <w:num w:numId="7" w16cid:durableId="255677313">
    <w:abstractNumId w:val="9"/>
  </w:num>
  <w:num w:numId="8" w16cid:durableId="1351836116">
    <w:abstractNumId w:val="17"/>
  </w:num>
  <w:num w:numId="9" w16cid:durableId="1612273570">
    <w:abstractNumId w:val="24"/>
  </w:num>
  <w:num w:numId="10" w16cid:durableId="1505976080">
    <w:abstractNumId w:val="22"/>
  </w:num>
  <w:num w:numId="11" w16cid:durableId="417947451">
    <w:abstractNumId w:val="4"/>
  </w:num>
  <w:num w:numId="12" w16cid:durableId="1759791584">
    <w:abstractNumId w:val="20"/>
  </w:num>
  <w:num w:numId="13" w16cid:durableId="903419319">
    <w:abstractNumId w:val="7"/>
  </w:num>
  <w:num w:numId="14" w16cid:durableId="1732537172">
    <w:abstractNumId w:val="31"/>
  </w:num>
  <w:num w:numId="15" w16cid:durableId="1582062170">
    <w:abstractNumId w:val="12"/>
  </w:num>
  <w:num w:numId="16" w16cid:durableId="1486624432">
    <w:abstractNumId w:val="8"/>
  </w:num>
  <w:num w:numId="17" w16cid:durableId="2057504590">
    <w:abstractNumId w:val="32"/>
  </w:num>
  <w:num w:numId="18" w16cid:durableId="1526554817">
    <w:abstractNumId w:val="19"/>
  </w:num>
  <w:num w:numId="19" w16cid:durableId="462306134">
    <w:abstractNumId w:val="11"/>
  </w:num>
  <w:num w:numId="20" w16cid:durableId="1858734738">
    <w:abstractNumId w:val="34"/>
  </w:num>
  <w:num w:numId="21" w16cid:durableId="541672686">
    <w:abstractNumId w:val="27"/>
  </w:num>
  <w:num w:numId="22" w16cid:durableId="2132745585">
    <w:abstractNumId w:val="6"/>
  </w:num>
  <w:num w:numId="23" w16cid:durableId="1244800496">
    <w:abstractNumId w:val="16"/>
  </w:num>
  <w:num w:numId="24" w16cid:durableId="26107414">
    <w:abstractNumId w:val="18"/>
  </w:num>
  <w:num w:numId="25" w16cid:durableId="611405124">
    <w:abstractNumId w:val="25"/>
  </w:num>
  <w:num w:numId="26" w16cid:durableId="1495029279">
    <w:abstractNumId w:val="14"/>
  </w:num>
  <w:num w:numId="27" w16cid:durableId="1051540554">
    <w:abstractNumId w:val="3"/>
  </w:num>
  <w:num w:numId="28" w16cid:durableId="219485542">
    <w:abstractNumId w:val="2"/>
  </w:num>
  <w:num w:numId="29" w16cid:durableId="1357850008">
    <w:abstractNumId w:val="35"/>
  </w:num>
  <w:num w:numId="30" w16cid:durableId="1610314304">
    <w:abstractNumId w:val="29"/>
  </w:num>
  <w:num w:numId="31" w16cid:durableId="248738152">
    <w:abstractNumId w:val="28"/>
  </w:num>
  <w:num w:numId="32" w16cid:durableId="1281523610">
    <w:abstractNumId w:val="33"/>
  </w:num>
  <w:num w:numId="33" w16cid:durableId="309555425">
    <w:abstractNumId w:val="5"/>
  </w:num>
  <w:num w:numId="34" w16cid:durableId="725377645">
    <w:abstractNumId w:val="1"/>
  </w:num>
  <w:num w:numId="35" w16cid:durableId="998461028">
    <w:abstractNumId w:val="0"/>
  </w:num>
  <w:num w:numId="36" w16cid:durableId="362481480">
    <w:abstractNumId w:val="30"/>
  </w:num>
  <w:num w:numId="37" w16cid:durableId="1802268233">
    <w:abstractNumId w:val="23"/>
  </w:num>
  <w:num w:numId="38" w16cid:durableId="791940512">
    <w:abstractNumId w:val="26"/>
  </w:num>
  <w:num w:numId="39" w16cid:durableId="171658878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Colwill">
    <w15:presenceInfo w15:providerId="AD" w15:userId="S::Richard.Colwill@electralink.co.uk::a4450ced-fd04-4924-813e-34c2ffb9b6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D2C"/>
    <w:rsid w:val="00026FE6"/>
    <w:rsid w:val="00030DD3"/>
    <w:rsid w:val="00037E1C"/>
    <w:rsid w:val="00046030"/>
    <w:rsid w:val="00050BBF"/>
    <w:rsid w:val="000657B0"/>
    <w:rsid w:val="00076880"/>
    <w:rsid w:val="00096F2C"/>
    <w:rsid w:val="000B6C72"/>
    <w:rsid w:val="000C16F9"/>
    <w:rsid w:val="000C1DBE"/>
    <w:rsid w:val="000D0489"/>
    <w:rsid w:val="00103651"/>
    <w:rsid w:val="00143A2F"/>
    <w:rsid w:val="0015302C"/>
    <w:rsid w:val="00162FE7"/>
    <w:rsid w:val="0018494C"/>
    <w:rsid w:val="00193FFB"/>
    <w:rsid w:val="001A3122"/>
    <w:rsid w:val="001A47B7"/>
    <w:rsid w:val="001A4D1F"/>
    <w:rsid w:val="001A4F40"/>
    <w:rsid w:val="001A70A7"/>
    <w:rsid w:val="001D16A8"/>
    <w:rsid w:val="001D25E0"/>
    <w:rsid w:val="001D6957"/>
    <w:rsid w:val="001F6F54"/>
    <w:rsid w:val="001F769D"/>
    <w:rsid w:val="00200575"/>
    <w:rsid w:val="00227B26"/>
    <w:rsid w:val="00254E1A"/>
    <w:rsid w:val="0025705A"/>
    <w:rsid w:val="00271E52"/>
    <w:rsid w:val="00291EEC"/>
    <w:rsid w:val="00294AAA"/>
    <w:rsid w:val="00295C9B"/>
    <w:rsid w:val="002D6FBC"/>
    <w:rsid w:val="002E077D"/>
    <w:rsid w:val="0030296A"/>
    <w:rsid w:val="00354313"/>
    <w:rsid w:val="003624BA"/>
    <w:rsid w:val="00364D77"/>
    <w:rsid w:val="003657C8"/>
    <w:rsid w:val="00374C7F"/>
    <w:rsid w:val="00380DF6"/>
    <w:rsid w:val="003908D8"/>
    <w:rsid w:val="00393A3C"/>
    <w:rsid w:val="003978F1"/>
    <w:rsid w:val="003A09E0"/>
    <w:rsid w:val="003B74C6"/>
    <w:rsid w:val="003D1B14"/>
    <w:rsid w:val="003E4695"/>
    <w:rsid w:val="003F1D93"/>
    <w:rsid w:val="004143E3"/>
    <w:rsid w:val="00420B2A"/>
    <w:rsid w:val="00422A1E"/>
    <w:rsid w:val="00460446"/>
    <w:rsid w:val="00462377"/>
    <w:rsid w:val="00477C5A"/>
    <w:rsid w:val="004A3FF9"/>
    <w:rsid w:val="004B0ED6"/>
    <w:rsid w:val="004B3F04"/>
    <w:rsid w:val="004B7FED"/>
    <w:rsid w:val="004D39F2"/>
    <w:rsid w:val="004D4C9B"/>
    <w:rsid w:val="004F126F"/>
    <w:rsid w:val="004F2CBF"/>
    <w:rsid w:val="004F54A9"/>
    <w:rsid w:val="00511E2D"/>
    <w:rsid w:val="00511F75"/>
    <w:rsid w:val="00532114"/>
    <w:rsid w:val="00537D57"/>
    <w:rsid w:val="00574CF4"/>
    <w:rsid w:val="005964FB"/>
    <w:rsid w:val="005A3382"/>
    <w:rsid w:val="005A7542"/>
    <w:rsid w:val="005C3B00"/>
    <w:rsid w:val="005D0A33"/>
    <w:rsid w:val="00601CEE"/>
    <w:rsid w:val="00611C29"/>
    <w:rsid w:val="00616149"/>
    <w:rsid w:val="006307DF"/>
    <w:rsid w:val="00630A97"/>
    <w:rsid w:val="00631786"/>
    <w:rsid w:val="0063336C"/>
    <w:rsid w:val="00672D79"/>
    <w:rsid w:val="00691664"/>
    <w:rsid w:val="00696638"/>
    <w:rsid w:val="006972B3"/>
    <w:rsid w:val="006A16BB"/>
    <w:rsid w:val="006B66A3"/>
    <w:rsid w:val="006C40BD"/>
    <w:rsid w:val="006E4395"/>
    <w:rsid w:val="006E6DF0"/>
    <w:rsid w:val="006F020C"/>
    <w:rsid w:val="006F52F6"/>
    <w:rsid w:val="006F7BB6"/>
    <w:rsid w:val="00705BEE"/>
    <w:rsid w:val="007246AD"/>
    <w:rsid w:val="0073104E"/>
    <w:rsid w:val="00753A89"/>
    <w:rsid w:val="00753C16"/>
    <w:rsid w:val="007671A6"/>
    <w:rsid w:val="00783109"/>
    <w:rsid w:val="00783B7B"/>
    <w:rsid w:val="00794092"/>
    <w:rsid w:val="007B2ED1"/>
    <w:rsid w:val="007C09D5"/>
    <w:rsid w:val="007D43C1"/>
    <w:rsid w:val="007F1955"/>
    <w:rsid w:val="0080105A"/>
    <w:rsid w:val="00807509"/>
    <w:rsid w:val="008138C8"/>
    <w:rsid w:val="00821D2C"/>
    <w:rsid w:val="00834DA4"/>
    <w:rsid w:val="00835043"/>
    <w:rsid w:val="0085103F"/>
    <w:rsid w:val="00855927"/>
    <w:rsid w:val="00870497"/>
    <w:rsid w:val="00876F7A"/>
    <w:rsid w:val="00883513"/>
    <w:rsid w:val="008911CB"/>
    <w:rsid w:val="0089159A"/>
    <w:rsid w:val="008955F6"/>
    <w:rsid w:val="00895B26"/>
    <w:rsid w:val="00896883"/>
    <w:rsid w:val="008A0042"/>
    <w:rsid w:val="008A28B4"/>
    <w:rsid w:val="008B006D"/>
    <w:rsid w:val="008B4036"/>
    <w:rsid w:val="008D5795"/>
    <w:rsid w:val="008E08CB"/>
    <w:rsid w:val="009020B4"/>
    <w:rsid w:val="00905771"/>
    <w:rsid w:val="009108CC"/>
    <w:rsid w:val="0091417D"/>
    <w:rsid w:val="009147DC"/>
    <w:rsid w:val="0092155F"/>
    <w:rsid w:val="00970788"/>
    <w:rsid w:val="00970ABA"/>
    <w:rsid w:val="00991E89"/>
    <w:rsid w:val="009953D0"/>
    <w:rsid w:val="0099734E"/>
    <w:rsid w:val="009B4657"/>
    <w:rsid w:val="009C4665"/>
    <w:rsid w:val="009D4AC6"/>
    <w:rsid w:val="009D7D67"/>
    <w:rsid w:val="009E153F"/>
    <w:rsid w:val="00A03ADD"/>
    <w:rsid w:val="00A2083C"/>
    <w:rsid w:val="00A208F7"/>
    <w:rsid w:val="00A36DB8"/>
    <w:rsid w:val="00A45DB6"/>
    <w:rsid w:val="00A46135"/>
    <w:rsid w:val="00A520E7"/>
    <w:rsid w:val="00A61C61"/>
    <w:rsid w:val="00A61E20"/>
    <w:rsid w:val="00A63D69"/>
    <w:rsid w:val="00A640AA"/>
    <w:rsid w:val="00A73DEB"/>
    <w:rsid w:val="00A80789"/>
    <w:rsid w:val="00AC465B"/>
    <w:rsid w:val="00AC4797"/>
    <w:rsid w:val="00AD1AC1"/>
    <w:rsid w:val="00AE0ECE"/>
    <w:rsid w:val="00B21675"/>
    <w:rsid w:val="00B413FA"/>
    <w:rsid w:val="00B50FA4"/>
    <w:rsid w:val="00B60089"/>
    <w:rsid w:val="00B83167"/>
    <w:rsid w:val="00B83EF3"/>
    <w:rsid w:val="00B84631"/>
    <w:rsid w:val="00B86272"/>
    <w:rsid w:val="00B90968"/>
    <w:rsid w:val="00BA53A2"/>
    <w:rsid w:val="00BD3DD0"/>
    <w:rsid w:val="00BE3C37"/>
    <w:rsid w:val="00BE6FFA"/>
    <w:rsid w:val="00BF295F"/>
    <w:rsid w:val="00BF7214"/>
    <w:rsid w:val="00C006F4"/>
    <w:rsid w:val="00C050AE"/>
    <w:rsid w:val="00C07FF4"/>
    <w:rsid w:val="00C157EA"/>
    <w:rsid w:val="00C163D9"/>
    <w:rsid w:val="00C23D16"/>
    <w:rsid w:val="00C26B98"/>
    <w:rsid w:val="00C520D9"/>
    <w:rsid w:val="00C60A83"/>
    <w:rsid w:val="00C61EC8"/>
    <w:rsid w:val="00C82B21"/>
    <w:rsid w:val="00C962D3"/>
    <w:rsid w:val="00CA338E"/>
    <w:rsid w:val="00CC67AE"/>
    <w:rsid w:val="00CD45C8"/>
    <w:rsid w:val="00CE5017"/>
    <w:rsid w:val="00CF24A4"/>
    <w:rsid w:val="00CF66C9"/>
    <w:rsid w:val="00D1247E"/>
    <w:rsid w:val="00D33104"/>
    <w:rsid w:val="00D36ADE"/>
    <w:rsid w:val="00D36FA7"/>
    <w:rsid w:val="00D45DBC"/>
    <w:rsid w:val="00D54E64"/>
    <w:rsid w:val="00D60B28"/>
    <w:rsid w:val="00D6335C"/>
    <w:rsid w:val="00D72220"/>
    <w:rsid w:val="00DB6CD1"/>
    <w:rsid w:val="00DC338B"/>
    <w:rsid w:val="00DC4B21"/>
    <w:rsid w:val="00DC5F4E"/>
    <w:rsid w:val="00DE2818"/>
    <w:rsid w:val="00DE5021"/>
    <w:rsid w:val="00E019B3"/>
    <w:rsid w:val="00E05715"/>
    <w:rsid w:val="00E13CA4"/>
    <w:rsid w:val="00E1744F"/>
    <w:rsid w:val="00E51DCC"/>
    <w:rsid w:val="00E52AB6"/>
    <w:rsid w:val="00E54C19"/>
    <w:rsid w:val="00E61931"/>
    <w:rsid w:val="00E8711E"/>
    <w:rsid w:val="00E92126"/>
    <w:rsid w:val="00E936BA"/>
    <w:rsid w:val="00EA2E90"/>
    <w:rsid w:val="00EB78D8"/>
    <w:rsid w:val="00EB7B37"/>
    <w:rsid w:val="00EC1A6D"/>
    <w:rsid w:val="00EC1DBE"/>
    <w:rsid w:val="00EE2313"/>
    <w:rsid w:val="00EF3A0F"/>
    <w:rsid w:val="00F040CF"/>
    <w:rsid w:val="00F157E1"/>
    <w:rsid w:val="00F16A12"/>
    <w:rsid w:val="00F36870"/>
    <w:rsid w:val="00F40968"/>
    <w:rsid w:val="00F542AE"/>
    <w:rsid w:val="00F6300D"/>
    <w:rsid w:val="00F74240"/>
    <w:rsid w:val="00F75CA6"/>
    <w:rsid w:val="00F8066A"/>
    <w:rsid w:val="00F87707"/>
    <w:rsid w:val="00F971A0"/>
    <w:rsid w:val="00FA0D57"/>
    <w:rsid w:val="00FA200D"/>
    <w:rsid w:val="00FA3478"/>
    <w:rsid w:val="00FC4566"/>
    <w:rsid w:val="00FD1130"/>
    <w:rsid w:val="00FD2BB9"/>
    <w:rsid w:val="00FD6731"/>
    <w:rsid w:val="00FF44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21DA9"/>
  <w15:chartTrackingRefBased/>
  <w15:docId w15:val="{AD1C6CF8-B03E-4153-A6B3-FDDA6234A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CBF"/>
    <w:rPr>
      <w:rFonts w:ascii="Arial" w:hAnsi="Arial"/>
      <w:sz w:val="20"/>
    </w:rPr>
  </w:style>
  <w:style w:type="paragraph" w:styleId="Heading1">
    <w:name w:val="heading 1"/>
    <w:basedOn w:val="Normal"/>
    <w:next w:val="Normal"/>
    <w:link w:val="Heading1Char"/>
    <w:uiPriority w:val="9"/>
    <w:qFormat/>
    <w:rsid w:val="00E54C19"/>
    <w:pPr>
      <w:keepNext/>
      <w:keepLines/>
      <w:numPr>
        <w:numId w:val="2"/>
      </w:numPr>
      <w:pBdr>
        <w:top w:val="single" w:sz="48" w:space="1" w:color="0096D7"/>
        <w:left w:val="single" w:sz="48" w:space="4" w:color="0096D7"/>
        <w:bottom w:val="single" w:sz="48" w:space="1" w:color="0096D7"/>
        <w:right w:val="single" w:sz="48" w:space="4" w:color="0096D7"/>
      </w:pBdr>
      <w:shd w:val="clear" w:color="auto" w:fill="0096D7"/>
      <w:spacing w:before="360" w:after="80"/>
      <w:outlineLvl w:val="0"/>
    </w:pPr>
    <w:rPr>
      <w:rFonts w:eastAsiaTheme="majorEastAsia" w:cstheme="majorBidi"/>
      <w:b/>
      <w:color w:val="FFFFFF" w:themeColor="background1"/>
      <w:sz w:val="28"/>
      <w:szCs w:val="40"/>
    </w:rPr>
  </w:style>
  <w:style w:type="paragraph" w:styleId="Heading2">
    <w:name w:val="heading 2"/>
    <w:basedOn w:val="Normal"/>
    <w:next w:val="Normal"/>
    <w:link w:val="Heading2Char"/>
    <w:uiPriority w:val="9"/>
    <w:semiHidden/>
    <w:unhideWhenUsed/>
    <w:qFormat/>
    <w:rsid w:val="00821D2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21D2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21D2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21D2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21D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1D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1D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1D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4C19"/>
    <w:rPr>
      <w:rFonts w:ascii="Arial" w:eastAsiaTheme="majorEastAsia" w:hAnsi="Arial" w:cstheme="majorBidi"/>
      <w:b/>
      <w:color w:val="FFFFFF" w:themeColor="background1"/>
      <w:sz w:val="28"/>
      <w:szCs w:val="40"/>
      <w:shd w:val="clear" w:color="auto" w:fill="0096D7"/>
    </w:rPr>
  </w:style>
  <w:style w:type="character" w:customStyle="1" w:styleId="Heading2Char">
    <w:name w:val="Heading 2 Char"/>
    <w:basedOn w:val="DefaultParagraphFont"/>
    <w:link w:val="Heading2"/>
    <w:uiPriority w:val="9"/>
    <w:semiHidden/>
    <w:rsid w:val="00821D2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21D2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21D2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21D2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21D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1D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1D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1D2C"/>
    <w:rPr>
      <w:rFonts w:eastAsiaTheme="majorEastAsia" w:cstheme="majorBidi"/>
      <w:color w:val="272727" w:themeColor="text1" w:themeTint="D8"/>
    </w:rPr>
  </w:style>
  <w:style w:type="paragraph" w:styleId="Title">
    <w:name w:val="Title"/>
    <w:basedOn w:val="Normal"/>
    <w:next w:val="Normal"/>
    <w:link w:val="TitleChar"/>
    <w:uiPriority w:val="10"/>
    <w:qFormat/>
    <w:rsid w:val="00821D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1D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1D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1D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1D2C"/>
    <w:pPr>
      <w:spacing w:before="160"/>
      <w:jc w:val="center"/>
    </w:pPr>
    <w:rPr>
      <w:i/>
      <w:iCs/>
      <w:color w:val="404040" w:themeColor="text1" w:themeTint="BF"/>
    </w:rPr>
  </w:style>
  <w:style w:type="character" w:customStyle="1" w:styleId="QuoteChar">
    <w:name w:val="Quote Char"/>
    <w:basedOn w:val="DefaultParagraphFont"/>
    <w:link w:val="Quote"/>
    <w:uiPriority w:val="29"/>
    <w:rsid w:val="00821D2C"/>
    <w:rPr>
      <w:i/>
      <w:iCs/>
      <w:color w:val="404040" w:themeColor="text1" w:themeTint="BF"/>
    </w:rPr>
  </w:style>
  <w:style w:type="paragraph" w:styleId="ListParagraph">
    <w:name w:val="List Paragraph"/>
    <w:basedOn w:val="Normal"/>
    <w:uiPriority w:val="34"/>
    <w:qFormat/>
    <w:rsid w:val="00835043"/>
    <w:pPr>
      <w:ind w:left="720"/>
    </w:pPr>
  </w:style>
  <w:style w:type="character" w:styleId="IntenseEmphasis">
    <w:name w:val="Intense Emphasis"/>
    <w:basedOn w:val="DefaultParagraphFont"/>
    <w:uiPriority w:val="21"/>
    <w:qFormat/>
    <w:rsid w:val="00821D2C"/>
    <w:rPr>
      <w:i/>
      <w:iCs/>
      <w:color w:val="2F5496" w:themeColor="accent1" w:themeShade="BF"/>
    </w:rPr>
  </w:style>
  <w:style w:type="paragraph" w:styleId="IntenseQuote">
    <w:name w:val="Intense Quote"/>
    <w:basedOn w:val="Normal"/>
    <w:next w:val="Normal"/>
    <w:link w:val="IntenseQuoteChar"/>
    <w:uiPriority w:val="30"/>
    <w:qFormat/>
    <w:rsid w:val="00821D2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21D2C"/>
    <w:rPr>
      <w:i/>
      <w:iCs/>
      <w:color w:val="2F5496" w:themeColor="accent1" w:themeShade="BF"/>
    </w:rPr>
  </w:style>
  <w:style w:type="character" w:styleId="IntenseReference">
    <w:name w:val="Intense Reference"/>
    <w:basedOn w:val="DefaultParagraphFont"/>
    <w:uiPriority w:val="32"/>
    <w:qFormat/>
    <w:rsid w:val="00821D2C"/>
    <w:rPr>
      <w:b/>
      <w:bCs/>
      <w:smallCaps/>
      <w:color w:val="2F5496" w:themeColor="accent1" w:themeShade="BF"/>
      <w:spacing w:val="5"/>
    </w:rPr>
  </w:style>
  <w:style w:type="paragraph" w:styleId="Header">
    <w:name w:val="header"/>
    <w:basedOn w:val="Normal"/>
    <w:link w:val="HeaderChar"/>
    <w:uiPriority w:val="99"/>
    <w:unhideWhenUsed/>
    <w:rsid w:val="00A461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6135"/>
  </w:style>
  <w:style w:type="paragraph" w:styleId="Footer">
    <w:name w:val="footer"/>
    <w:basedOn w:val="Normal"/>
    <w:link w:val="FooterChar"/>
    <w:uiPriority w:val="99"/>
    <w:unhideWhenUsed/>
    <w:rsid w:val="00A461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6135"/>
  </w:style>
  <w:style w:type="table" w:styleId="TableGrid">
    <w:name w:val="Table Grid"/>
    <w:basedOn w:val="TableNormal"/>
    <w:uiPriority w:val="39"/>
    <w:rsid w:val="00731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D5795"/>
    <w:rPr>
      <w:color w:val="0563C1" w:themeColor="hyperlink"/>
      <w:u w:val="single"/>
    </w:rPr>
  </w:style>
  <w:style w:type="character" w:styleId="UnresolvedMention">
    <w:name w:val="Unresolved Mention"/>
    <w:basedOn w:val="DefaultParagraphFont"/>
    <w:uiPriority w:val="99"/>
    <w:semiHidden/>
    <w:unhideWhenUsed/>
    <w:rsid w:val="008D5795"/>
    <w:rPr>
      <w:color w:val="605E5C"/>
      <w:shd w:val="clear" w:color="auto" w:fill="E1DFDD"/>
    </w:rPr>
  </w:style>
  <w:style w:type="paragraph" w:styleId="TOC1">
    <w:name w:val="toc 1"/>
    <w:basedOn w:val="Normal"/>
    <w:next w:val="Normal"/>
    <w:autoRedefine/>
    <w:uiPriority w:val="39"/>
    <w:unhideWhenUsed/>
    <w:rsid w:val="0085103F"/>
    <w:pPr>
      <w:tabs>
        <w:tab w:val="left" w:pos="480"/>
        <w:tab w:val="right" w:leader="dot" w:pos="9628"/>
      </w:tabs>
      <w:spacing w:after="100" w:line="240" w:lineRule="auto"/>
    </w:pPr>
    <w:rPr>
      <w:b/>
      <w:color w:val="008576"/>
      <w:sz w:val="24"/>
    </w:rPr>
  </w:style>
  <w:style w:type="paragraph" w:styleId="TOCHeading">
    <w:name w:val="TOC Heading"/>
    <w:basedOn w:val="Heading1"/>
    <w:next w:val="Normal"/>
    <w:uiPriority w:val="39"/>
    <w:unhideWhenUsed/>
    <w:qFormat/>
    <w:rsid w:val="006A16BB"/>
    <w:pPr>
      <w:numPr>
        <w:numId w:val="0"/>
      </w:numPr>
      <w:pBdr>
        <w:top w:val="none" w:sz="0" w:space="0" w:color="auto"/>
        <w:left w:val="none" w:sz="0" w:space="0" w:color="auto"/>
        <w:bottom w:val="none" w:sz="0" w:space="0" w:color="auto"/>
        <w:right w:val="none" w:sz="0" w:space="0" w:color="auto"/>
      </w:pBdr>
      <w:shd w:val="clear" w:color="auto" w:fill="auto"/>
      <w:spacing w:before="240" w:after="0"/>
      <w:outlineLvl w:val="9"/>
    </w:pPr>
    <w:rPr>
      <w:rFonts w:asciiTheme="majorHAnsi" w:hAnsiTheme="majorHAnsi"/>
      <w:b w:val="0"/>
      <w:color w:val="2F5496" w:themeColor="accent1" w:themeShade="BF"/>
      <w:kern w:val="0"/>
      <w:sz w:val="32"/>
      <w:szCs w:val="32"/>
      <w:lang w:val="en-US"/>
      <w14:ligatures w14:val="none"/>
    </w:rPr>
  </w:style>
  <w:style w:type="paragraph" w:styleId="TOC9">
    <w:name w:val="toc 9"/>
    <w:basedOn w:val="Normal"/>
    <w:next w:val="Normal"/>
    <w:autoRedefine/>
    <w:uiPriority w:val="39"/>
    <w:semiHidden/>
    <w:unhideWhenUsed/>
    <w:rsid w:val="00C61EC8"/>
    <w:pPr>
      <w:spacing w:after="100"/>
      <w:ind w:left="1760"/>
    </w:pPr>
  </w:style>
  <w:style w:type="paragraph" w:styleId="TOC2">
    <w:name w:val="toc 2"/>
    <w:basedOn w:val="Normal"/>
    <w:next w:val="Normal"/>
    <w:autoRedefine/>
    <w:uiPriority w:val="39"/>
    <w:semiHidden/>
    <w:unhideWhenUsed/>
    <w:rsid w:val="0085103F"/>
    <w:pPr>
      <w:spacing w:after="100"/>
      <w:ind w:left="220"/>
    </w:pPr>
  </w:style>
  <w:style w:type="paragraph" w:styleId="ListNumber">
    <w:name w:val="List Number"/>
    <w:basedOn w:val="Normal"/>
    <w:rsid w:val="00672D79"/>
    <w:pPr>
      <w:numPr>
        <w:numId w:val="3"/>
      </w:numPr>
      <w:tabs>
        <w:tab w:val="clear" w:pos="720"/>
      </w:tabs>
      <w:spacing w:before="120" w:after="120" w:line="300" w:lineRule="atLeast"/>
      <w:ind w:left="0" w:firstLine="0"/>
    </w:pPr>
    <w:rPr>
      <w:rFonts w:eastAsia="Times New Roman" w:cs="Times New Roman"/>
      <w:kern w:val="0"/>
      <w:szCs w:val="24"/>
      <w:lang w:eastAsia="en-GB"/>
      <w14:ligatures w14:val="none"/>
    </w:rPr>
  </w:style>
  <w:style w:type="paragraph" w:styleId="BodyText3">
    <w:name w:val="Body Text 3"/>
    <w:basedOn w:val="Normal"/>
    <w:link w:val="BodyText3Char"/>
    <w:rsid w:val="006F7BB6"/>
    <w:pPr>
      <w:spacing w:before="120" w:after="120" w:line="280" w:lineRule="atLeast"/>
    </w:pPr>
    <w:rPr>
      <w:rFonts w:eastAsia="Times New Roman" w:cs="Times New Roman"/>
      <w:kern w:val="0"/>
      <w:sz w:val="24"/>
      <w:szCs w:val="16"/>
      <w:lang w:eastAsia="en-GB"/>
      <w14:ligatures w14:val="none"/>
    </w:rPr>
  </w:style>
  <w:style w:type="character" w:customStyle="1" w:styleId="BodyText3Char">
    <w:name w:val="Body Text 3 Char"/>
    <w:basedOn w:val="DefaultParagraphFont"/>
    <w:link w:val="BodyText3"/>
    <w:rsid w:val="006F7BB6"/>
    <w:rPr>
      <w:rFonts w:ascii="Arial" w:eastAsia="Times New Roman" w:hAnsi="Arial" w:cs="Times New Roman"/>
      <w:kern w:val="0"/>
      <w:sz w:val="24"/>
      <w:szCs w:val="16"/>
      <w:lang w:eastAsia="en-GB"/>
      <w14:ligatures w14:val="none"/>
    </w:rPr>
  </w:style>
  <w:style w:type="character" w:styleId="CommentReference">
    <w:name w:val="annotation reference"/>
    <w:basedOn w:val="DefaultParagraphFont"/>
    <w:uiPriority w:val="99"/>
    <w:semiHidden/>
    <w:unhideWhenUsed/>
    <w:rsid w:val="00D36FA7"/>
    <w:rPr>
      <w:sz w:val="16"/>
      <w:szCs w:val="16"/>
    </w:rPr>
  </w:style>
  <w:style w:type="paragraph" w:styleId="CommentText">
    <w:name w:val="annotation text"/>
    <w:basedOn w:val="Normal"/>
    <w:link w:val="CommentTextChar"/>
    <w:uiPriority w:val="99"/>
    <w:unhideWhenUsed/>
    <w:rsid w:val="00D36FA7"/>
    <w:pPr>
      <w:spacing w:line="240" w:lineRule="auto"/>
    </w:pPr>
    <w:rPr>
      <w:szCs w:val="20"/>
    </w:rPr>
  </w:style>
  <w:style w:type="character" w:customStyle="1" w:styleId="CommentTextChar">
    <w:name w:val="Comment Text Char"/>
    <w:basedOn w:val="DefaultParagraphFont"/>
    <w:link w:val="CommentText"/>
    <w:uiPriority w:val="99"/>
    <w:rsid w:val="00D36FA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36FA7"/>
    <w:rPr>
      <w:b/>
      <w:bCs/>
    </w:rPr>
  </w:style>
  <w:style w:type="character" w:customStyle="1" w:styleId="CommentSubjectChar">
    <w:name w:val="Comment Subject Char"/>
    <w:basedOn w:val="CommentTextChar"/>
    <w:link w:val="CommentSubject"/>
    <w:uiPriority w:val="99"/>
    <w:semiHidden/>
    <w:rsid w:val="00D36FA7"/>
    <w:rPr>
      <w:rFonts w:ascii="Arial" w:hAnsi="Arial"/>
      <w:b/>
      <w:bCs/>
      <w:sz w:val="20"/>
      <w:szCs w:val="20"/>
    </w:rPr>
  </w:style>
  <w:style w:type="paragraph" w:styleId="Revision">
    <w:name w:val="Revision"/>
    <w:hidden/>
    <w:uiPriority w:val="99"/>
    <w:semiHidden/>
    <w:rsid w:val="00511E2D"/>
    <w:pPr>
      <w:spacing w:after="0" w:line="240" w:lineRule="auto"/>
    </w:pPr>
    <w:rPr>
      <w:rFonts w:ascii="Arial" w:hAnsi="Arial"/>
      <w:sz w:val="20"/>
    </w:rPr>
  </w:style>
  <w:style w:type="paragraph" w:styleId="Caption">
    <w:name w:val="caption"/>
    <w:basedOn w:val="Normal"/>
    <w:next w:val="Normal"/>
    <w:uiPriority w:val="35"/>
    <w:unhideWhenUsed/>
    <w:qFormat/>
    <w:rsid w:val="00C163D9"/>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dcusa@electralink.co.uk" TargetMode="External"/><Relationship Id="rId18" Type="http://schemas.microsoft.com/office/2018/08/relationships/commentsExtensible" Target="commentsExtensible.xml"/><Relationship Id="rId26" Type="http://schemas.openxmlformats.org/officeDocument/2006/relationships/chart" Target="charts/chart3.xm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4.jpeg"/><Relationship Id="rId17" Type="http://schemas.microsoft.com/office/2016/09/relationships/commentsIds" Target="commentsIds.xml"/><Relationship Id="rId25" Type="http://schemas.openxmlformats.org/officeDocument/2006/relationships/chart" Target="charts/chart2.xml"/><Relationship Id="rId33" Type="http://schemas.openxmlformats.org/officeDocument/2006/relationships/theme" Target="theme/theme1.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image" Target="media/image7.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chart" Target="charts/chart1.xml"/><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image" Target="media/image10.png"/><Relationship Id="rId28" Type="http://schemas.openxmlformats.org/officeDocument/2006/relationships/footer" Target="footer1.xml"/><Relationship Id="rId36" Type="http://schemas.openxmlformats.org/officeDocument/2006/relationships/customXml" Target="../customXml/item4.xml"/><Relationship Id="rId10" Type="http://schemas.openxmlformats.org/officeDocument/2006/relationships/image" Target="media/image2.jpeg"/><Relationship Id="rId19" Type="http://schemas.openxmlformats.org/officeDocument/2006/relationships/image" Target="media/image6.png"/><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image" Target="media/image5.jpeg"/><Relationship Id="rId22" Type="http://schemas.openxmlformats.org/officeDocument/2006/relationships/image" Target="media/image9.png"/><Relationship Id="rId27" Type="http://schemas.openxmlformats.org/officeDocument/2006/relationships/header" Target="header1.xml"/><Relationship Id="rId30" Type="http://schemas.openxmlformats.org/officeDocument/2006/relationships/fontTable" Target="fontTable.xml"/><Relationship Id="rId35" Type="http://schemas.openxmlformats.org/officeDocument/2006/relationships/customXml" Target="../customXml/item3.xml"/><Relationship Id="rId8"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charts/_rels/chart1.xml.rels><?xml version="1.0" encoding="UTF-8" standalone="yes"?>
<Relationships xmlns="http://schemas.openxmlformats.org/package/2006/relationships"><Relationship Id="rId3" Type="http://schemas.openxmlformats.org/officeDocument/2006/relationships/oleObject" Target="file:///\\volt.local\shares\PUB.ECO\02_Network%20Sales\25_DCUSA\Change%20Proposals\461%20to%20480\469\4.%20DCP%20437%20Risk%20Premia%20Calc%20RFI\CCP437%20Domestic%20Risk%20Premia%20Analysis%20-%20adapted%20for%20DCP469%20-%20NPg%20v3.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volt.local\shares\PUB.ECO\02_Network%20Sales\25_DCUSA\Change%20Proposals\461%20to%20480\469\4.%20DCP%20437%20Risk%20Premia%20Calc%20RFI\CCP437%20Domestic%20Risk%20Premia%20Analysis%20-%20adapted%20for%20DCP469%20-%20NPg%20v3.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volt.local\shares\PUB.ECO\02_Network%20Sales\25_DCUSA\Change%20Proposals\461%20to%20480\469\4.%20DCP%20437%20Risk%20Premia%20Calc%20RFI\CCP437%20Domestic%20Risk%20Premia%20Analysis%20-%20adapted%20for%20DCP469%20-%20NPg%20v3.0.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en-GB" sz="1100"/>
              <a:t>Total Risk Premium Over</a:t>
            </a:r>
            <a:r>
              <a:rPr lang="en-GB" sz="1100" baseline="0"/>
              <a:t> 12-Month Contract</a:t>
            </a:r>
          </a:p>
          <a:p>
            <a:pPr>
              <a:defRPr/>
            </a:pPr>
            <a:r>
              <a:rPr lang="en-GB" sz="1100" baseline="0"/>
              <a:t>(by Contract Start Date)</a:t>
            </a:r>
            <a:endParaRPr lang="en-GB" sz="1100"/>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GB"/>
        </a:p>
      </c:txPr>
    </c:title>
    <c:autoTitleDeleted val="0"/>
    <c:plotArea>
      <c:layout>
        <c:manualLayout>
          <c:layoutTarget val="inner"/>
          <c:xMode val="edge"/>
          <c:yMode val="edge"/>
          <c:x val="0.10941073891187331"/>
          <c:y val="0.16877307274701411"/>
          <c:w val="0.88154971306552787"/>
          <c:h val="0.66107936507936516"/>
        </c:manualLayout>
      </c:layout>
      <c:barChart>
        <c:barDir val="col"/>
        <c:grouping val="clustered"/>
        <c:varyColors val="0"/>
        <c:ser>
          <c:idx val="0"/>
          <c:order val="0"/>
          <c:tx>
            <c:strRef>
              <c:f>'Chart Data'!$B$3</c:f>
              <c:strCache>
                <c:ptCount val="1"/>
                <c:pt idx="0">
                  <c:v>12m Contract / 2 month notice</c:v>
                </c:pt>
              </c:strCache>
            </c:strRef>
          </c:tx>
          <c:spPr>
            <a:solidFill>
              <a:srgbClr val="00B050"/>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rgbClr val="00B05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'Chart Data'!$C$2:$N$2</c:f>
              <c:numCache>
                <c:formatCode>mmm\-yy</c:formatCode>
                <c:ptCount val="12"/>
                <c:pt idx="0">
                  <c:v>46023</c:v>
                </c:pt>
                <c:pt idx="1">
                  <c:v>46054</c:v>
                </c:pt>
                <c:pt idx="2">
                  <c:v>46082</c:v>
                </c:pt>
                <c:pt idx="3">
                  <c:v>46113</c:v>
                </c:pt>
                <c:pt idx="4">
                  <c:v>46143</c:v>
                </c:pt>
                <c:pt idx="5">
                  <c:v>46174</c:v>
                </c:pt>
                <c:pt idx="6">
                  <c:v>46204</c:v>
                </c:pt>
                <c:pt idx="7">
                  <c:v>46235</c:v>
                </c:pt>
                <c:pt idx="8">
                  <c:v>46266</c:v>
                </c:pt>
                <c:pt idx="9">
                  <c:v>46296</c:v>
                </c:pt>
                <c:pt idx="10">
                  <c:v>46327</c:v>
                </c:pt>
                <c:pt idx="11">
                  <c:v>46357</c:v>
                </c:pt>
              </c:numCache>
            </c:numRef>
          </c:cat>
          <c:val>
            <c:numRef>
              <c:f>'Chart Data'!$C$3:$N$3</c:f>
              <c:numCache>
                <c:formatCode>_("£"* #,##0.00_);_("£"* \(#,##0.00\);_("£"* "-"??_);_(@_)</c:formatCode>
                <c:ptCount val="12"/>
                <c:pt idx="0">
                  <c:v>1.1851997916666668</c:v>
                </c:pt>
                <c:pt idx="1">
                  <c:v>0</c:v>
                </c:pt>
                <c:pt idx="2">
                  <c:v>0</c:v>
                </c:pt>
                <c:pt idx="3">
                  <c:v>0</c:v>
                </c:pt>
                <c:pt idx="4">
                  <c:v>0.13168886574074076</c:v>
                </c:pt>
                <c:pt idx="5">
                  <c:v>0.26337773148148153</c:v>
                </c:pt>
                <c:pt idx="6">
                  <c:v>0.39506659722222226</c:v>
                </c:pt>
                <c:pt idx="7">
                  <c:v>0.52675546296296305</c:v>
                </c:pt>
                <c:pt idx="8">
                  <c:v>0.65844432870370373</c:v>
                </c:pt>
                <c:pt idx="9">
                  <c:v>0.79013319444444452</c:v>
                </c:pt>
                <c:pt idx="10">
                  <c:v>0.92182206018518531</c:v>
                </c:pt>
                <c:pt idx="11">
                  <c:v>1.0535109259259261</c:v>
                </c:pt>
              </c:numCache>
            </c:numRef>
          </c:val>
          <c:extLst>
            <c:ext xmlns:c16="http://schemas.microsoft.com/office/drawing/2014/chart" uri="{C3380CC4-5D6E-409C-BE32-E72D297353CC}">
              <c16:uniqueId val="{00000000-F50E-4B55-B4E9-7FF54AB192D9}"/>
            </c:ext>
          </c:extLst>
        </c:ser>
        <c:ser>
          <c:idx val="1"/>
          <c:order val="2"/>
          <c:tx>
            <c:strRef>
              <c:f>'Chart Data'!$B$4</c:f>
              <c:strCache>
                <c:ptCount val="1"/>
                <c:pt idx="0">
                  <c:v>12m Contract / 15 month notice</c:v>
                </c:pt>
              </c:strCache>
            </c:strRef>
          </c:tx>
          <c:spPr>
            <a:solidFill>
              <a:srgbClr val="FF0000"/>
            </a:solidFill>
            <a:ln>
              <a:noFill/>
            </a:ln>
            <a:effectLst>
              <a:outerShdw blurRad="57150" dist="19050" dir="5400000" algn="ctr" rotWithShape="0">
                <a:srgbClr val="000000">
                  <a:alpha val="63000"/>
                </a:srgbClr>
              </a:outerShdw>
            </a:effectLst>
          </c:spPr>
          <c:invertIfNegative val="0"/>
          <c:cat>
            <c:numRef>
              <c:f>'Chart Data'!$C$2:$N$2</c:f>
              <c:numCache>
                <c:formatCode>mmm\-yy</c:formatCode>
                <c:ptCount val="12"/>
                <c:pt idx="0">
                  <c:v>46023</c:v>
                </c:pt>
                <c:pt idx="1">
                  <c:v>46054</c:v>
                </c:pt>
                <c:pt idx="2">
                  <c:v>46082</c:v>
                </c:pt>
                <c:pt idx="3">
                  <c:v>46113</c:v>
                </c:pt>
                <c:pt idx="4">
                  <c:v>46143</c:v>
                </c:pt>
                <c:pt idx="5">
                  <c:v>46174</c:v>
                </c:pt>
                <c:pt idx="6">
                  <c:v>46204</c:v>
                </c:pt>
                <c:pt idx="7">
                  <c:v>46235</c:v>
                </c:pt>
                <c:pt idx="8">
                  <c:v>46266</c:v>
                </c:pt>
                <c:pt idx="9">
                  <c:v>46296</c:v>
                </c:pt>
                <c:pt idx="10">
                  <c:v>46327</c:v>
                </c:pt>
                <c:pt idx="11">
                  <c:v>46357</c:v>
                </c:pt>
              </c:numCache>
            </c:numRef>
          </c:cat>
          <c:val>
            <c:numRef>
              <c:f>'Chart Data'!$C$4:$N$4</c:f>
              <c:numCache>
                <c:formatCode>_("£"* #,##0.00_);_("£"* \(#,##0.00\);_("£"* "-"??_);_(@_)</c:formatCode>
                <c:ptCount val="12"/>
                <c:pt idx="0">
                  <c:v>0</c:v>
                </c:pt>
                <c:pt idx="1">
                  <c:v>0</c:v>
                </c:pt>
                <c:pt idx="2">
                  <c:v>0</c:v>
                </c:pt>
                <c:pt idx="3">
                  <c:v>0</c:v>
                </c:pt>
                <c:pt idx="4">
                  <c:v>0</c:v>
                </c:pt>
                <c:pt idx="5">
                  <c:v>0</c:v>
                </c:pt>
                <c:pt idx="6">
                  <c:v>0</c:v>
                </c:pt>
                <c:pt idx="7">
                  <c:v>0</c:v>
                </c:pt>
                <c:pt idx="8">
                  <c:v>0</c:v>
                </c:pt>
                <c:pt idx="9">
                  <c:v>0</c:v>
                </c:pt>
                <c:pt idx="10">
                  <c:v>0</c:v>
                </c:pt>
                <c:pt idx="11">
                  <c:v>0</c:v>
                </c:pt>
              </c:numCache>
            </c:numRef>
          </c:val>
          <c:extLst>
            <c:ext xmlns:c16="http://schemas.microsoft.com/office/drawing/2014/chart" uri="{C3380CC4-5D6E-409C-BE32-E72D297353CC}">
              <c16:uniqueId val="{00000001-F50E-4B55-B4E9-7FF54AB192D9}"/>
            </c:ext>
          </c:extLst>
        </c:ser>
        <c:dLbls>
          <c:showLegendKey val="0"/>
          <c:showVal val="0"/>
          <c:showCatName val="0"/>
          <c:showSerName val="0"/>
          <c:showPercent val="0"/>
          <c:showBubbleSize val="0"/>
        </c:dLbls>
        <c:gapWidth val="100"/>
        <c:overlap val="-24"/>
        <c:axId val="1380335071"/>
        <c:axId val="1380336991"/>
        <c:extLst>
          <c:ext xmlns:c15="http://schemas.microsoft.com/office/drawing/2012/chart" uri="{02D57815-91ED-43cb-92C2-25804820EDAC}">
            <c15:filteredBarSeries>
              <c15:ser>
                <c:idx val="2"/>
                <c:order val="1"/>
                <c:tx>
                  <c:strRef>
                    <c:extLst>
                      <c:ext uri="{02D57815-91ED-43cb-92C2-25804820EDAC}">
                        <c15:formulaRef>
                          <c15:sqref>'Chart Data'!$B$5</c15:sqref>
                        </c15:formulaRef>
                      </c:ext>
                    </c:extLst>
                    <c:strCache>
                      <c:ptCount val="1"/>
                      <c:pt idx="0">
                        <c:v>24m Contract / 2 month notice</c:v>
                      </c:pt>
                    </c:strCache>
                  </c:strRef>
                </c:tx>
                <c:spPr>
                  <a:solidFill>
                    <a:srgbClr val="00B050"/>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uri="{CE6537A1-D6FC-4f65-9D91-7224C49458BB}">
                      <c15:showLeaderLines val="1"/>
                      <c15:leaderLines>
                        <c:spPr>
                          <a:ln w="9525">
                            <a:solidFill>
                              <a:schemeClr val="lt1">
                                <a:lumMod val="95000"/>
                                <a:alpha val="54000"/>
                              </a:schemeClr>
                            </a:solidFill>
                          </a:ln>
                          <a:effectLst/>
                        </c:spPr>
                      </c15:leaderLines>
                    </c:ext>
                  </c:extLst>
                </c:dLbls>
                <c:cat>
                  <c:numRef>
                    <c:extLst>
                      <c:ext uri="{02D57815-91ED-43cb-92C2-25804820EDAC}">
                        <c15:formulaRef>
                          <c15:sqref>'Chart Data'!$C$2:$N$2</c15:sqref>
                        </c15:formulaRef>
                      </c:ext>
                    </c:extLst>
                    <c:numCache>
                      <c:formatCode>mmm\-yy</c:formatCode>
                      <c:ptCount val="12"/>
                      <c:pt idx="0">
                        <c:v>46023</c:v>
                      </c:pt>
                      <c:pt idx="1">
                        <c:v>46054</c:v>
                      </c:pt>
                      <c:pt idx="2">
                        <c:v>46082</c:v>
                      </c:pt>
                      <c:pt idx="3">
                        <c:v>46113</c:v>
                      </c:pt>
                      <c:pt idx="4">
                        <c:v>46143</c:v>
                      </c:pt>
                      <c:pt idx="5">
                        <c:v>46174</c:v>
                      </c:pt>
                      <c:pt idx="6">
                        <c:v>46204</c:v>
                      </c:pt>
                      <c:pt idx="7">
                        <c:v>46235</c:v>
                      </c:pt>
                      <c:pt idx="8">
                        <c:v>46266</c:v>
                      </c:pt>
                      <c:pt idx="9">
                        <c:v>46296</c:v>
                      </c:pt>
                      <c:pt idx="10">
                        <c:v>46327</c:v>
                      </c:pt>
                      <c:pt idx="11">
                        <c:v>46357</c:v>
                      </c:pt>
                    </c:numCache>
                  </c:numRef>
                </c:cat>
                <c:val>
                  <c:numRef>
                    <c:extLst>
                      <c:ext uri="{02D57815-91ED-43cb-92C2-25804820EDAC}">
                        <c15:formulaRef>
                          <c15:sqref>'Chart Data'!$C$5:$N$5</c15:sqref>
                        </c15:formulaRef>
                      </c:ext>
                    </c:extLst>
                    <c:numCache>
                      <c:formatCode>_("£"* #,##0.00_);_("£"* \(#,##0.00\);_("£"* "-"??_);_(@_)</c:formatCode>
                      <c:ptCount val="12"/>
                      <c:pt idx="0">
                        <c:v>2.7654661805555558</c:v>
                      </c:pt>
                      <c:pt idx="1">
                        <c:v>1.3168886574074075</c:v>
                      </c:pt>
                      <c:pt idx="2">
                        <c:v>1.4485775231481481</c:v>
                      </c:pt>
                      <c:pt idx="3">
                        <c:v>1.580266388888889</c:v>
                      </c:pt>
                      <c:pt idx="4">
                        <c:v>1.7119552546296299</c:v>
                      </c:pt>
                      <c:pt idx="5">
                        <c:v>1.8436441203703706</c:v>
                      </c:pt>
                      <c:pt idx="6">
                        <c:v>1.9753329861111113</c:v>
                      </c:pt>
                      <c:pt idx="7">
                        <c:v>2.1070218518518522</c:v>
                      </c:pt>
                      <c:pt idx="8">
                        <c:v>2.2387107175925927</c:v>
                      </c:pt>
                      <c:pt idx="9">
                        <c:v>2.3703995833333336</c:v>
                      </c:pt>
                      <c:pt idx="10">
                        <c:v>2.5020884490740745</c:v>
                      </c:pt>
                      <c:pt idx="11">
                        <c:v>2.6337773148148149</c:v>
                      </c:pt>
                    </c:numCache>
                  </c:numRef>
                </c:val>
                <c:extLst>
                  <c:ext xmlns:c16="http://schemas.microsoft.com/office/drawing/2014/chart" uri="{C3380CC4-5D6E-409C-BE32-E72D297353CC}">
                    <c16:uniqueId val="{00000002-F50E-4B55-B4E9-7FF54AB192D9}"/>
                  </c:ext>
                </c:extLst>
              </c15:ser>
            </c15:filteredBarSeries>
            <c15:filteredBarSeries>
              <c15:ser>
                <c:idx val="3"/>
                <c:order val="3"/>
                <c:tx>
                  <c:strRef>
                    <c:extLst xmlns:c15="http://schemas.microsoft.com/office/drawing/2012/chart">
                      <c:ext xmlns:c15="http://schemas.microsoft.com/office/drawing/2012/chart" uri="{02D57815-91ED-43cb-92C2-25804820EDAC}">
                        <c15:formulaRef>
                          <c15:sqref>'Chart Data'!$B$6</c15:sqref>
                        </c15:formulaRef>
                      </c:ext>
                    </c:extLst>
                    <c:strCache>
                      <c:ptCount val="1"/>
                      <c:pt idx="0">
                        <c:v>24m Contract / 15 month notice</c:v>
                      </c:pt>
                    </c:strCache>
                  </c:strRef>
                </c:tx>
                <c:spPr>
                  <a:solidFill>
                    <a:srgbClr val="C00000"/>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extLst xmlns:c15="http://schemas.microsoft.com/office/drawing/2012/chart">
                      <c:ext xmlns:c15="http://schemas.microsoft.com/office/drawing/2012/chart" uri="{02D57815-91ED-43cb-92C2-25804820EDAC}">
                        <c15:formulaRef>
                          <c15:sqref>'Chart Data'!$C$2:$N$2</c15:sqref>
                        </c15:formulaRef>
                      </c:ext>
                    </c:extLst>
                    <c:numCache>
                      <c:formatCode>mmm\-yy</c:formatCode>
                      <c:ptCount val="12"/>
                      <c:pt idx="0">
                        <c:v>46023</c:v>
                      </c:pt>
                      <c:pt idx="1">
                        <c:v>46054</c:v>
                      </c:pt>
                      <c:pt idx="2">
                        <c:v>46082</c:v>
                      </c:pt>
                      <c:pt idx="3">
                        <c:v>46113</c:v>
                      </c:pt>
                      <c:pt idx="4">
                        <c:v>46143</c:v>
                      </c:pt>
                      <c:pt idx="5">
                        <c:v>46174</c:v>
                      </c:pt>
                      <c:pt idx="6">
                        <c:v>46204</c:v>
                      </c:pt>
                      <c:pt idx="7">
                        <c:v>46235</c:v>
                      </c:pt>
                      <c:pt idx="8">
                        <c:v>46266</c:v>
                      </c:pt>
                      <c:pt idx="9">
                        <c:v>46296</c:v>
                      </c:pt>
                      <c:pt idx="10">
                        <c:v>46327</c:v>
                      </c:pt>
                      <c:pt idx="11">
                        <c:v>46357</c:v>
                      </c:pt>
                    </c:numCache>
                  </c:numRef>
                </c:cat>
                <c:val>
                  <c:numRef>
                    <c:extLst xmlns:c15="http://schemas.microsoft.com/office/drawing/2012/chart">
                      <c:ext xmlns:c15="http://schemas.microsoft.com/office/drawing/2012/chart" uri="{02D57815-91ED-43cb-92C2-25804820EDAC}">
                        <c15:formulaRef>
                          <c15:sqref>'Chart Data'!$C$6:$N$6</c15:sqref>
                        </c15:formulaRef>
                      </c:ext>
                    </c:extLst>
                    <c:numCache>
                      <c:formatCode>_("£"* #,##0.00_);_("£"* \(#,##0.00\);_("£"* "-"??_);_(@_)</c:formatCode>
                      <c:ptCount val="12"/>
                      <c:pt idx="0">
                        <c:v>0</c:v>
                      </c:pt>
                      <c:pt idx="1">
                        <c:v>0</c:v>
                      </c:pt>
                      <c:pt idx="2">
                        <c:v>0</c:v>
                      </c:pt>
                      <c:pt idx="3">
                        <c:v>0</c:v>
                      </c:pt>
                      <c:pt idx="4">
                        <c:v>0.62147246963748282</c:v>
                      </c:pt>
                      <c:pt idx="5">
                        <c:v>1.2429449392749656</c:v>
                      </c:pt>
                      <c:pt idx="6">
                        <c:v>1.8644174089124483</c:v>
                      </c:pt>
                      <c:pt idx="7">
                        <c:v>2.4858898785499313</c:v>
                      </c:pt>
                      <c:pt idx="8">
                        <c:v>3.1073623481874137</c:v>
                      </c:pt>
                      <c:pt idx="9">
                        <c:v>3.7288348178248967</c:v>
                      </c:pt>
                      <c:pt idx="10">
                        <c:v>4.3503072874623792</c:v>
                      </c:pt>
                      <c:pt idx="11">
                        <c:v>4.9717797570998625</c:v>
                      </c:pt>
                    </c:numCache>
                  </c:numRef>
                </c:val>
                <c:extLst xmlns:c15="http://schemas.microsoft.com/office/drawing/2012/chart">
                  <c:ext xmlns:c16="http://schemas.microsoft.com/office/drawing/2014/chart" uri="{C3380CC4-5D6E-409C-BE32-E72D297353CC}">
                    <c16:uniqueId val="{00000003-F50E-4B55-B4E9-7FF54AB192D9}"/>
                  </c:ext>
                </c:extLst>
              </c15:ser>
            </c15:filteredBarSeries>
          </c:ext>
        </c:extLst>
      </c:barChart>
      <c:dateAx>
        <c:axId val="1380335071"/>
        <c:scaling>
          <c:orientation val="minMax"/>
        </c:scaling>
        <c:delete val="0"/>
        <c:axPos val="b"/>
        <c:title>
          <c:tx>
            <c:rich>
              <a:bodyPr rot="0" spcFirstLastPara="1" vertOverflow="ellipsis" vert="horz" wrap="square" anchor="ctr" anchorCtr="1"/>
              <a:lstStyle/>
              <a:p>
                <a:pPr>
                  <a:defRPr sz="900" b="1" i="0" u="none" strike="noStrike" kern="1200" cap="all" baseline="0">
                    <a:solidFill>
                      <a:schemeClr val="lt1">
                        <a:lumMod val="85000"/>
                      </a:schemeClr>
                    </a:solidFill>
                    <a:latin typeface="+mn-lt"/>
                    <a:ea typeface="+mn-ea"/>
                    <a:cs typeface="+mn-cs"/>
                  </a:defRPr>
                </a:pPr>
                <a:r>
                  <a:rPr lang="en-US"/>
                  <a:t>Contract Start Date</a:t>
                </a:r>
              </a:p>
            </c:rich>
          </c:tx>
          <c:layout>
            <c:manualLayout>
              <c:xMode val="edge"/>
              <c:yMode val="edge"/>
              <c:x val="0.43619563867730238"/>
              <c:y val="0.89269141357330317"/>
            </c:manualLayout>
          </c:layout>
          <c:overlay val="0"/>
          <c:spPr>
            <a:noFill/>
            <a:ln>
              <a:noFill/>
            </a:ln>
            <a:effectLst/>
          </c:spPr>
          <c:txPr>
            <a:bodyPr rot="0" spcFirstLastPara="1" vertOverflow="ellipsis" vert="horz" wrap="square" anchor="ctr" anchorCtr="1"/>
            <a:lstStyle/>
            <a:p>
              <a:pPr>
                <a:defRPr sz="900" b="1" i="0" u="none" strike="noStrike" kern="1200" cap="all" baseline="0">
                  <a:solidFill>
                    <a:schemeClr val="lt1">
                      <a:lumMod val="85000"/>
                    </a:schemeClr>
                  </a:solidFill>
                  <a:latin typeface="+mn-lt"/>
                  <a:ea typeface="+mn-ea"/>
                  <a:cs typeface="+mn-cs"/>
                </a:defRPr>
              </a:pPr>
              <a:endParaRPr lang="en-US"/>
            </a:p>
          </c:txPr>
        </c:title>
        <c:numFmt formatCode="mmm\-yy" sourceLinked="1"/>
        <c:majorTickMark val="out"/>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800" b="0" i="0" u="none" strike="noStrike" kern="1200" baseline="0">
                <a:solidFill>
                  <a:schemeClr val="lt1">
                    <a:lumMod val="85000"/>
                  </a:schemeClr>
                </a:solidFill>
                <a:latin typeface="+mn-lt"/>
                <a:ea typeface="+mn-ea"/>
                <a:cs typeface="+mn-cs"/>
              </a:defRPr>
            </a:pPr>
            <a:endParaRPr lang="en-US"/>
          </a:p>
        </c:txPr>
        <c:crossAx val="1380336991"/>
        <c:crosses val="autoZero"/>
        <c:auto val="1"/>
        <c:lblOffset val="100"/>
        <c:baseTimeUnit val="months"/>
      </c:dateAx>
      <c:valAx>
        <c:axId val="1380336991"/>
        <c:scaling>
          <c:orientation val="minMax"/>
          <c:max val="5"/>
        </c:scaling>
        <c:delete val="0"/>
        <c:axPos val="l"/>
        <c:title>
          <c:tx>
            <c:rich>
              <a:bodyPr rot="-5400000" spcFirstLastPara="1" vertOverflow="ellipsis" vert="horz" wrap="square" anchor="ctr" anchorCtr="1"/>
              <a:lstStyle/>
              <a:p>
                <a:pPr>
                  <a:defRPr sz="900" b="1" i="0" u="none" strike="noStrike" kern="1200" cap="all" baseline="0">
                    <a:solidFill>
                      <a:schemeClr val="lt1">
                        <a:lumMod val="85000"/>
                      </a:schemeClr>
                    </a:solidFill>
                    <a:latin typeface="+mn-lt"/>
                    <a:ea typeface="+mn-ea"/>
                    <a:cs typeface="+mn-cs"/>
                  </a:defRPr>
                </a:pPr>
                <a:r>
                  <a:rPr lang="en-GB"/>
                  <a:t>Total</a:t>
                </a:r>
                <a:r>
                  <a:rPr lang="en-GB" baseline="0"/>
                  <a:t> Risk Premium (£)</a:t>
                </a:r>
                <a:endParaRPr lang="en-GB"/>
              </a:p>
            </c:rich>
          </c:tx>
          <c:overlay val="0"/>
          <c:spPr>
            <a:noFill/>
            <a:ln>
              <a:noFill/>
            </a:ln>
            <a:effectLst/>
          </c:spPr>
          <c:txPr>
            <a:bodyPr rot="-5400000" spcFirstLastPara="1" vertOverflow="ellipsis" vert="horz" wrap="square" anchor="ctr" anchorCtr="1"/>
            <a:lstStyle/>
            <a:p>
              <a:pPr>
                <a:defRPr sz="900" b="1" i="0" u="none" strike="noStrike" kern="1200" cap="all" baseline="0">
                  <a:solidFill>
                    <a:schemeClr val="lt1">
                      <a:lumMod val="85000"/>
                    </a:schemeClr>
                  </a:solidFill>
                  <a:latin typeface="+mn-lt"/>
                  <a:ea typeface="+mn-ea"/>
                  <a:cs typeface="+mn-cs"/>
                </a:defRPr>
              </a:pPr>
              <a:endParaRPr lang="en-GB"/>
            </a:p>
          </c:txPr>
        </c:title>
        <c:numFmt formatCode="_(&quot;£&quot;* #,##0.00_);_(&quot;£&quot;* \(#,##0.00\);_(&quot;£&quot;*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1380335071"/>
        <c:crosses val="autoZero"/>
        <c:crossBetween val="between"/>
        <c:majorUnit val="1"/>
      </c:valAx>
      <c:spPr>
        <a:noFill/>
        <a:ln>
          <a:noFill/>
        </a:ln>
        <a:effectLst/>
      </c:spPr>
    </c:plotArea>
    <c:legend>
      <c:legendPos val="b"/>
      <c:layout>
        <c:manualLayout>
          <c:xMode val="edge"/>
          <c:yMode val="edge"/>
          <c:x val="0.12498148171935276"/>
          <c:y val="0.95930342040578265"/>
          <c:w val="0.77201645879093828"/>
          <c:h val="3.9428071491063615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en-GB" sz="1100"/>
              <a:t>Total Risk Premium Over</a:t>
            </a:r>
            <a:r>
              <a:rPr lang="en-GB" sz="1100" baseline="0"/>
              <a:t> 24-Month Contract</a:t>
            </a:r>
          </a:p>
          <a:p>
            <a:pPr>
              <a:defRPr/>
            </a:pPr>
            <a:r>
              <a:rPr lang="en-GB" sz="1100" baseline="0"/>
              <a:t>(by Contract Start Date)</a:t>
            </a:r>
            <a:endParaRPr lang="en-GB" sz="1100"/>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GB"/>
        </a:p>
      </c:txPr>
    </c:title>
    <c:autoTitleDeleted val="0"/>
    <c:plotArea>
      <c:layout>
        <c:manualLayout>
          <c:layoutTarget val="inner"/>
          <c:xMode val="edge"/>
          <c:yMode val="edge"/>
          <c:x val="0.10941073891187331"/>
          <c:y val="0.16877307274701411"/>
          <c:w val="0.88154971306552787"/>
          <c:h val="0.66107936507936516"/>
        </c:manualLayout>
      </c:layout>
      <c:barChart>
        <c:barDir val="col"/>
        <c:grouping val="clustered"/>
        <c:varyColors val="0"/>
        <c:ser>
          <c:idx val="2"/>
          <c:order val="1"/>
          <c:tx>
            <c:strRef>
              <c:f>'Chart Data'!$B$5</c:f>
              <c:strCache>
                <c:ptCount val="1"/>
                <c:pt idx="0">
                  <c:v>24m Contract / 2 month notice</c:v>
                </c:pt>
              </c:strCache>
              <c:extLst xmlns:c15="http://schemas.microsoft.com/office/drawing/2012/chart"/>
            </c:strRef>
          </c:tx>
          <c:spPr>
            <a:solidFill>
              <a:srgbClr val="00B050"/>
            </a:solidFill>
            <a:ln>
              <a:noFill/>
            </a:ln>
            <a:effectLst>
              <a:outerShdw blurRad="57150" dist="19050" dir="5400000" algn="ctr" rotWithShape="0">
                <a:srgbClr val="000000">
                  <a:alpha val="63000"/>
                </a:srgbClr>
              </a:outerShdw>
            </a:effectLst>
          </c:spPr>
          <c:invertIfNegative val="0"/>
          <c:dLbls>
            <c:dLbl>
              <c:idx val="6"/>
              <c:layout>
                <c:manualLayout>
                  <c:x val="-4.3501903208265358E-3"/>
                  <c:y val="-2.116402116402124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923-436C-B029-FB5239EC5DE9}"/>
                </c:ext>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rgbClr val="00B050"/>
                    </a:solidFill>
                    <a:latin typeface="+mn-lt"/>
                    <a:ea typeface="+mn-ea"/>
                    <a:cs typeface="+mn-cs"/>
                  </a:defRPr>
                </a:pPr>
                <a:endParaRPr lang="en-US"/>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'Chart Data'!$C$2:$N$2</c:f>
              <c:numCache>
                <c:formatCode>mmm\-yy</c:formatCode>
                <c:ptCount val="12"/>
                <c:pt idx="0">
                  <c:v>46023</c:v>
                </c:pt>
                <c:pt idx="1">
                  <c:v>46054</c:v>
                </c:pt>
                <c:pt idx="2">
                  <c:v>46082</c:v>
                </c:pt>
                <c:pt idx="3">
                  <c:v>46113</c:v>
                </c:pt>
                <c:pt idx="4">
                  <c:v>46143</c:v>
                </c:pt>
                <c:pt idx="5">
                  <c:v>46174</c:v>
                </c:pt>
                <c:pt idx="6">
                  <c:v>46204</c:v>
                </c:pt>
                <c:pt idx="7">
                  <c:v>46235</c:v>
                </c:pt>
                <c:pt idx="8">
                  <c:v>46266</c:v>
                </c:pt>
                <c:pt idx="9">
                  <c:v>46296</c:v>
                </c:pt>
                <c:pt idx="10">
                  <c:v>46327</c:v>
                </c:pt>
                <c:pt idx="11">
                  <c:v>46357</c:v>
                </c:pt>
              </c:numCache>
              <c:extLst xmlns:c15="http://schemas.microsoft.com/office/drawing/2012/chart"/>
            </c:numRef>
          </c:cat>
          <c:val>
            <c:numRef>
              <c:f>'Chart Data'!$C$5:$N$5</c:f>
              <c:numCache>
                <c:formatCode>_("£"* #,##0.00_);_("£"* \(#,##0.00\);_("£"* "-"??_);_(@_)</c:formatCode>
                <c:ptCount val="12"/>
                <c:pt idx="0">
                  <c:v>2.7654661805555558</c:v>
                </c:pt>
                <c:pt idx="1">
                  <c:v>1.3168886574074075</c:v>
                </c:pt>
                <c:pt idx="2">
                  <c:v>1.4485775231481481</c:v>
                </c:pt>
                <c:pt idx="3">
                  <c:v>1.580266388888889</c:v>
                </c:pt>
                <c:pt idx="4">
                  <c:v>1.7119552546296299</c:v>
                </c:pt>
                <c:pt idx="5">
                  <c:v>1.8436441203703706</c:v>
                </c:pt>
                <c:pt idx="6">
                  <c:v>1.9753329861111113</c:v>
                </c:pt>
                <c:pt idx="7">
                  <c:v>2.1070218518518522</c:v>
                </c:pt>
                <c:pt idx="8">
                  <c:v>2.2387107175925927</c:v>
                </c:pt>
                <c:pt idx="9">
                  <c:v>2.3703995833333336</c:v>
                </c:pt>
                <c:pt idx="10">
                  <c:v>2.5020884490740745</c:v>
                </c:pt>
                <c:pt idx="11">
                  <c:v>2.6337773148148149</c:v>
                </c:pt>
              </c:numCache>
              <c:extLst xmlns:c15="http://schemas.microsoft.com/office/drawing/2012/chart"/>
            </c:numRef>
          </c:val>
          <c:extLst xmlns:c15="http://schemas.microsoft.com/office/drawing/2012/chart">
            <c:ext xmlns:c16="http://schemas.microsoft.com/office/drawing/2014/chart" uri="{C3380CC4-5D6E-409C-BE32-E72D297353CC}">
              <c16:uniqueId val="{00000002-A923-436C-B029-FB5239EC5DE9}"/>
            </c:ext>
          </c:extLst>
        </c:ser>
        <c:ser>
          <c:idx val="3"/>
          <c:order val="3"/>
          <c:tx>
            <c:strRef>
              <c:f>'Chart Data'!$B$6</c:f>
              <c:strCache>
                <c:ptCount val="1"/>
                <c:pt idx="0">
                  <c:v>24m Contract / 15 month notice</c:v>
                </c:pt>
              </c:strCache>
              <c:extLst xmlns:c15="http://schemas.microsoft.com/office/drawing/2012/chart"/>
            </c:strRef>
          </c:tx>
          <c:spPr>
            <a:solidFill>
              <a:srgbClr val="C00000"/>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rgbClr val="FF0000"/>
                    </a:solidFill>
                    <a:latin typeface="+mn-lt"/>
                    <a:ea typeface="+mn-ea"/>
                    <a:cs typeface="+mn-cs"/>
                  </a:defRPr>
                </a:pPr>
                <a:endParaRPr lang="en-US"/>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'Chart Data'!$C$2:$N$2</c:f>
              <c:numCache>
                <c:formatCode>mmm\-yy</c:formatCode>
                <c:ptCount val="12"/>
                <c:pt idx="0">
                  <c:v>46023</c:v>
                </c:pt>
                <c:pt idx="1">
                  <c:v>46054</c:v>
                </c:pt>
                <c:pt idx="2">
                  <c:v>46082</c:v>
                </c:pt>
                <c:pt idx="3">
                  <c:v>46113</c:v>
                </c:pt>
                <c:pt idx="4">
                  <c:v>46143</c:v>
                </c:pt>
                <c:pt idx="5">
                  <c:v>46174</c:v>
                </c:pt>
                <c:pt idx="6">
                  <c:v>46204</c:v>
                </c:pt>
                <c:pt idx="7">
                  <c:v>46235</c:v>
                </c:pt>
                <c:pt idx="8">
                  <c:v>46266</c:v>
                </c:pt>
                <c:pt idx="9">
                  <c:v>46296</c:v>
                </c:pt>
                <c:pt idx="10">
                  <c:v>46327</c:v>
                </c:pt>
                <c:pt idx="11">
                  <c:v>46357</c:v>
                </c:pt>
              </c:numCache>
              <c:extLst xmlns:c15="http://schemas.microsoft.com/office/drawing/2012/chart"/>
            </c:numRef>
          </c:cat>
          <c:val>
            <c:numRef>
              <c:f>'Chart Data'!$C$6:$N$6</c:f>
              <c:numCache>
                <c:formatCode>_("£"* #,##0.00_);_("£"* \(#,##0.00\);_("£"* "-"??_);_(@_)</c:formatCode>
                <c:ptCount val="12"/>
                <c:pt idx="0">
                  <c:v>0</c:v>
                </c:pt>
                <c:pt idx="1">
                  <c:v>0</c:v>
                </c:pt>
                <c:pt idx="2">
                  <c:v>0</c:v>
                </c:pt>
                <c:pt idx="3">
                  <c:v>0</c:v>
                </c:pt>
                <c:pt idx="4">
                  <c:v>0.62147246963748282</c:v>
                </c:pt>
                <c:pt idx="5">
                  <c:v>1.2429449392749656</c:v>
                </c:pt>
                <c:pt idx="6">
                  <c:v>1.8644174089124483</c:v>
                </c:pt>
                <c:pt idx="7">
                  <c:v>2.4858898785499313</c:v>
                </c:pt>
                <c:pt idx="8">
                  <c:v>3.1073623481874137</c:v>
                </c:pt>
                <c:pt idx="9">
                  <c:v>3.7288348178248967</c:v>
                </c:pt>
                <c:pt idx="10">
                  <c:v>4.3503072874623792</c:v>
                </c:pt>
                <c:pt idx="11">
                  <c:v>4.9717797570998625</c:v>
                </c:pt>
              </c:numCache>
              <c:extLst xmlns:c15="http://schemas.microsoft.com/office/drawing/2012/chart"/>
            </c:numRef>
          </c:val>
          <c:extLst xmlns:c15="http://schemas.microsoft.com/office/drawing/2012/chart">
            <c:ext xmlns:c16="http://schemas.microsoft.com/office/drawing/2014/chart" uri="{C3380CC4-5D6E-409C-BE32-E72D297353CC}">
              <c16:uniqueId val="{00000003-A923-436C-B029-FB5239EC5DE9}"/>
            </c:ext>
          </c:extLst>
        </c:ser>
        <c:dLbls>
          <c:showLegendKey val="0"/>
          <c:showVal val="0"/>
          <c:showCatName val="0"/>
          <c:showSerName val="0"/>
          <c:showPercent val="0"/>
          <c:showBubbleSize val="0"/>
        </c:dLbls>
        <c:gapWidth val="100"/>
        <c:overlap val="-24"/>
        <c:axId val="1380335071"/>
        <c:axId val="1380336991"/>
        <c:extLst>
          <c:ext xmlns:c15="http://schemas.microsoft.com/office/drawing/2012/chart" uri="{02D57815-91ED-43cb-92C2-25804820EDAC}">
            <c15:filteredBarSeries>
              <c15:ser>
                <c:idx val="0"/>
                <c:order val="0"/>
                <c:tx>
                  <c:strRef>
                    <c:extLst>
                      <c:ext uri="{02D57815-91ED-43cb-92C2-25804820EDAC}">
                        <c15:formulaRef>
                          <c15:sqref>'Chart Data'!$B$3</c15:sqref>
                        </c15:formulaRef>
                      </c:ext>
                    </c:extLst>
                    <c:strCache>
                      <c:ptCount val="1"/>
                      <c:pt idx="0">
                        <c:v>12m Contract / 2 month notice</c:v>
                      </c:pt>
                    </c:strCache>
                  </c:strRef>
                </c:tx>
                <c:spPr>
                  <a:solidFill>
                    <a:srgbClr val="00B050"/>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uri="{CE6537A1-D6FC-4f65-9D91-7224C49458BB}">
                      <c15:showLeaderLines val="1"/>
                      <c15:leaderLines>
                        <c:spPr>
                          <a:ln w="9525">
                            <a:solidFill>
                              <a:schemeClr val="lt1">
                                <a:lumMod val="95000"/>
                                <a:alpha val="54000"/>
                              </a:schemeClr>
                            </a:solidFill>
                          </a:ln>
                          <a:effectLst/>
                        </c:spPr>
                      </c15:leaderLines>
                    </c:ext>
                  </c:extLst>
                </c:dLbls>
                <c:cat>
                  <c:numRef>
                    <c:extLst>
                      <c:ext uri="{02D57815-91ED-43cb-92C2-25804820EDAC}">
                        <c15:formulaRef>
                          <c15:sqref>'Chart Data'!$C$2:$N$2</c15:sqref>
                        </c15:formulaRef>
                      </c:ext>
                    </c:extLst>
                    <c:numCache>
                      <c:formatCode>mmm\-yy</c:formatCode>
                      <c:ptCount val="12"/>
                      <c:pt idx="0">
                        <c:v>46023</c:v>
                      </c:pt>
                      <c:pt idx="1">
                        <c:v>46054</c:v>
                      </c:pt>
                      <c:pt idx="2">
                        <c:v>46082</c:v>
                      </c:pt>
                      <c:pt idx="3">
                        <c:v>46113</c:v>
                      </c:pt>
                      <c:pt idx="4">
                        <c:v>46143</c:v>
                      </c:pt>
                      <c:pt idx="5">
                        <c:v>46174</c:v>
                      </c:pt>
                      <c:pt idx="6">
                        <c:v>46204</c:v>
                      </c:pt>
                      <c:pt idx="7">
                        <c:v>46235</c:v>
                      </c:pt>
                      <c:pt idx="8">
                        <c:v>46266</c:v>
                      </c:pt>
                      <c:pt idx="9">
                        <c:v>46296</c:v>
                      </c:pt>
                      <c:pt idx="10">
                        <c:v>46327</c:v>
                      </c:pt>
                      <c:pt idx="11">
                        <c:v>46357</c:v>
                      </c:pt>
                    </c:numCache>
                  </c:numRef>
                </c:cat>
                <c:val>
                  <c:numRef>
                    <c:extLst>
                      <c:ext uri="{02D57815-91ED-43cb-92C2-25804820EDAC}">
                        <c15:formulaRef>
                          <c15:sqref>'Chart Data'!$C$3:$N$3</c15:sqref>
                        </c15:formulaRef>
                      </c:ext>
                    </c:extLst>
                    <c:numCache>
                      <c:formatCode>_("£"* #,##0.00_);_("£"* \(#,##0.00\);_("£"* "-"??_);_(@_)</c:formatCode>
                      <c:ptCount val="12"/>
                      <c:pt idx="0">
                        <c:v>1.1851997916666668</c:v>
                      </c:pt>
                      <c:pt idx="1">
                        <c:v>0</c:v>
                      </c:pt>
                      <c:pt idx="2">
                        <c:v>0</c:v>
                      </c:pt>
                      <c:pt idx="3">
                        <c:v>0</c:v>
                      </c:pt>
                      <c:pt idx="4">
                        <c:v>0.13168886574074076</c:v>
                      </c:pt>
                      <c:pt idx="5">
                        <c:v>0.26337773148148153</c:v>
                      </c:pt>
                      <c:pt idx="6">
                        <c:v>0.39506659722222226</c:v>
                      </c:pt>
                      <c:pt idx="7">
                        <c:v>0.52675546296296305</c:v>
                      </c:pt>
                      <c:pt idx="8">
                        <c:v>0.65844432870370373</c:v>
                      </c:pt>
                      <c:pt idx="9">
                        <c:v>0.79013319444444452</c:v>
                      </c:pt>
                      <c:pt idx="10">
                        <c:v>0.92182206018518531</c:v>
                      </c:pt>
                      <c:pt idx="11">
                        <c:v>1.0535109259259261</c:v>
                      </c:pt>
                    </c:numCache>
                  </c:numRef>
                </c:val>
                <c:extLst>
                  <c:ext xmlns:c16="http://schemas.microsoft.com/office/drawing/2014/chart" uri="{C3380CC4-5D6E-409C-BE32-E72D297353CC}">
                    <c16:uniqueId val="{00000000-A923-436C-B029-FB5239EC5DE9}"/>
                  </c:ext>
                </c:extLst>
              </c15:ser>
            </c15:filteredBarSeries>
            <c15:filteredBarSeries>
              <c15:ser>
                <c:idx val="1"/>
                <c:order val="2"/>
                <c:tx>
                  <c:strRef>
                    <c:extLst xmlns:c15="http://schemas.microsoft.com/office/drawing/2012/chart">
                      <c:ext xmlns:c15="http://schemas.microsoft.com/office/drawing/2012/chart" uri="{02D57815-91ED-43cb-92C2-25804820EDAC}">
                        <c15:formulaRef>
                          <c15:sqref>'Chart Data'!$B$4</c15:sqref>
                        </c15:formulaRef>
                      </c:ext>
                    </c:extLst>
                    <c:strCache>
                      <c:ptCount val="1"/>
                      <c:pt idx="0">
                        <c:v>12m Contract / 15 month notice</c:v>
                      </c:pt>
                    </c:strCache>
                  </c:strRef>
                </c:tx>
                <c:spPr>
                  <a:solidFill>
                    <a:srgbClr val="FF0000"/>
                  </a:solidFill>
                  <a:ln>
                    <a:noFill/>
                  </a:ln>
                  <a:effectLst>
                    <a:outerShdw blurRad="57150" dist="19050" dir="5400000" algn="ctr" rotWithShape="0">
                      <a:srgbClr val="000000">
                        <a:alpha val="63000"/>
                      </a:srgbClr>
                    </a:outerShdw>
                  </a:effectLst>
                </c:spPr>
                <c:invertIfNegative val="0"/>
                <c:cat>
                  <c:numRef>
                    <c:extLst xmlns:c15="http://schemas.microsoft.com/office/drawing/2012/chart">
                      <c:ext xmlns:c15="http://schemas.microsoft.com/office/drawing/2012/chart" uri="{02D57815-91ED-43cb-92C2-25804820EDAC}">
                        <c15:formulaRef>
                          <c15:sqref>'Chart Data'!$C$2:$N$2</c15:sqref>
                        </c15:formulaRef>
                      </c:ext>
                    </c:extLst>
                    <c:numCache>
                      <c:formatCode>mmm\-yy</c:formatCode>
                      <c:ptCount val="12"/>
                      <c:pt idx="0">
                        <c:v>46023</c:v>
                      </c:pt>
                      <c:pt idx="1">
                        <c:v>46054</c:v>
                      </c:pt>
                      <c:pt idx="2">
                        <c:v>46082</c:v>
                      </c:pt>
                      <c:pt idx="3">
                        <c:v>46113</c:v>
                      </c:pt>
                      <c:pt idx="4">
                        <c:v>46143</c:v>
                      </c:pt>
                      <c:pt idx="5">
                        <c:v>46174</c:v>
                      </c:pt>
                      <c:pt idx="6">
                        <c:v>46204</c:v>
                      </c:pt>
                      <c:pt idx="7">
                        <c:v>46235</c:v>
                      </c:pt>
                      <c:pt idx="8">
                        <c:v>46266</c:v>
                      </c:pt>
                      <c:pt idx="9">
                        <c:v>46296</c:v>
                      </c:pt>
                      <c:pt idx="10">
                        <c:v>46327</c:v>
                      </c:pt>
                      <c:pt idx="11">
                        <c:v>46357</c:v>
                      </c:pt>
                    </c:numCache>
                  </c:numRef>
                </c:cat>
                <c:val>
                  <c:numRef>
                    <c:extLst xmlns:c15="http://schemas.microsoft.com/office/drawing/2012/chart">
                      <c:ext xmlns:c15="http://schemas.microsoft.com/office/drawing/2012/chart" uri="{02D57815-91ED-43cb-92C2-25804820EDAC}">
                        <c15:formulaRef>
                          <c15:sqref>'Chart Data'!$C$4:$N$4</c15:sqref>
                        </c15:formulaRef>
                      </c:ext>
                    </c:extLst>
                    <c:numCache>
                      <c:formatCode>_("£"* #,##0.00_);_("£"* \(#,##0.00\);_("£"* "-"??_);_(@_)</c:formatCode>
                      <c:ptCount val="12"/>
                      <c:pt idx="0">
                        <c:v>0</c:v>
                      </c:pt>
                      <c:pt idx="1">
                        <c:v>0</c:v>
                      </c:pt>
                      <c:pt idx="2">
                        <c:v>0</c:v>
                      </c:pt>
                      <c:pt idx="3">
                        <c:v>0</c:v>
                      </c:pt>
                      <c:pt idx="4">
                        <c:v>0</c:v>
                      </c:pt>
                      <c:pt idx="5">
                        <c:v>0</c:v>
                      </c:pt>
                      <c:pt idx="6">
                        <c:v>0</c:v>
                      </c:pt>
                      <c:pt idx="7">
                        <c:v>0</c:v>
                      </c:pt>
                      <c:pt idx="8">
                        <c:v>0</c:v>
                      </c:pt>
                      <c:pt idx="9">
                        <c:v>0</c:v>
                      </c:pt>
                      <c:pt idx="10">
                        <c:v>0</c:v>
                      </c:pt>
                      <c:pt idx="11">
                        <c:v>0</c:v>
                      </c:pt>
                    </c:numCache>
                  </c:numRef>
                </c:val>
                <c:extLst xmlns:c15="http://schemas.microsoft.com/office/drawing/2012/chart">
                  <c:ext xmlns:c16="http://schemas.microsoft.com/office/drawing/2014/chart" uri="{C3380CC4-5D6E-409C-BE32-E72D297353CC}">
                    <c16:uniqueId val="{00000001-A923-436C-B029-FB5239EC5DE9}"/>
                  </c:ext>
                </c:extLst>
              </c15:ser>
            </c15:filteredBarSeries>
          </c:ext>
        </c:extLst>
      </c:barChart>
      <c:dateAx>
        <c:axId val="1380335071"/>
        <c:scaling>
          <c:orientation val="minMax"/>
        </c:scaling>
        <c:delete val="0"/>
        <c:axPos val="b"/>
        <c:title>
          <c:tx>
            <c:rich>
              <a:bodyPr rot="0" spcFirstLastPara="1" vertOverflow="ellipsis" vert="horz" wrap="square" anchor="ctr" anchorCtr="1"/>
              <a:lstStyle/>
              <a:p>
                <a:pPr>
                  <a:defRPr sz="900" b="1" i="0" u="none" strike="noStrike" kern="1200" cap="all" baseline="0">
                    <a:solidFill>
                      <a:schemeClr val="lt1">
                        <a:lumMod val="85000"/>
                      </a:schemeClr>
                    </a:solidFill>
                    <a:latin typeface="+mn-lt"/>
                    <a:ea typeface="+mn-ea"/>
                    <a:cs typeface="+mn-cs"/>
                  </a:defRPr>
                </a:pPr>
                <a:r>
                  <a:rPr lang="en-US"/>
                  <a:t>Contract Start Date</a:t>
                </a:r>
              </a:p>
            </c:rich>
          </c:tx>
          <c:layout>
            <c:manualLayout>
              <c:xMode val="edge"/>
              <c:yMode val="edge"/>
              <c:x val="0.43619563867730238"/>
              <c:y val="0.89269141357330317"/>
            </c:manualLayout>
          </c:layout>
          <c:overlay val="0"/>
          <c:spPr>
            <a:noFill/>
            <a:ln>
              <a:noFill/>
            </a:ln>
            <a:effectLst/>
          </c:spPr>
          <c:txPr>
            <a:bodyPr rot="0" spcFirstLastPara="1" vertOverflow="ellipsis" vert="horz" wrap="square" anchor="ctr" anchorCtr="1"/>
            <a:lstStyle/>
            <a:p>
              <a:pPr>
                <a:defRPr sz="900" b="1" i="0" u="none" strike="noStrike" kern="1200" cap="all" baseline="0">
                  <a:solidFill>
                    <a:schemeClr val="lt1">
                      <a:lumMod val="85000"/>
                    </a:schemeClr>
                  </a:solidFill>
                  <a:latin typeface="+mn-lt"/>
                  <a:ea typeface="+mn-ea"/>
                  <a:cs typeface="+mn-cs"/>
                </a:defRPr>
              </a:pPr>
              <a:endParaRPr lang="en-US"/>
            </a:p>
          </c:txPr>
        </c:title>
        <c:numFmt formatCode="mmm\-yy" sourceLinked="1"/>
        <c:majorTickMark val="out"/>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800" b="0" i="0" u="none" strike="noStrike" kern="1200" baseline="0">
                <a:solidFill>
                  <a:schemeClr val="lt1">
                    <a:lumMod val="85000"/>
                  </a:schemeClr>
                </a:solidFill>
                <a:latin typeface="+mn-lt"/>
                <a:ea typeface="+mn-ea"/>
                <a:cs typeface="+mn-cs"/>
              </a:defRPr>
            </a:pPr>
            <a:endParaRPr lang="en-US"/>
          </a:p>
        </c:txPr>
        <c:crossAx val="1380336991"/>
        <c:crosses val="autoZero"/>
        <c:auto val="1"/>
        <c:lblOffset val="100"/>
        <c:baseTimeUnit val="months"/>
      </c:dateAx>
      <c:valAx>
        <c:axId val="1380336991"/>
        <c:scaling>
          <c:orientation val="minMax"/>
          <c:max val="5"/>
        </c:scaling>
        <c:delete val="0"/>
        <c:axPos val="l"/>
        <c:title>
          <c:tx>
            <c:rich>
              <a:bodyPr rot="-5400000" spcFirstLastPara="1" vertOverflow="ellipsis" vert="horz" wrap="square" anchor="ctr" anchorCtr="1"/>
              <a:lstStyle/>
              <a:p>
                <a:pPr>
                  <a:defRPr sz="900" b="1" i="0" u="none" strike="noStrike" kern="1200" cap="all" baseline="0">
                    <a:solidFill>
                      <a:schemeClr val="lt1">
                        <a:lumMod val="85000"/>
                      </a:schemeClr>
                    </a:solidFill>
                    <a:latin typeface="+mn-lt"/>
                    <a:ea typeface="+mn-ea"/>
                    <a:cs typeface="+mn-cs"/>
                  </a:defRPr>
                </a:pPr>
                <a:r>
                  <a:rPr lang="en-GB"/>
                  <a:t>Total</a:t>
                </a:r>
                <a:r>
                  <a:rPr lang="en-GB" baseline="0"/>
                  <a:t> Risk Premium (£)</a:t>
                </a:r>
                <a:endParaRPr lang="en-GB"/>
              </a:p>
            </c:rich>
          </c:tx>
          <c:overlay val="0"/>
          <c:spPr>
            <a:noFill/>
            <a:ln>
              <a:noFill/>
            </a:ln>
            <a:effectLst/>
          </c:spPr>
          <c:txPr>
            <a:bodyPr rot="-5400000" spcFirstLastPara="1" vertOverflow="ellipsis" vert="horz" wrap="square" anchor="ctr" anchorCtr="1"/>
            <a:lstStyle/>
            <a:p>
              <a:pPr>
                <a:defRPr sz="900" b="1" i="0" u="none" strike="noStrike" kern="1200" cap="all" baseline="0">
                  <a:solidFill>
                    <a:schemeClr val="lt1">
                      <a:lumMod val="85000"/>
                    </a:schemeClr>
                  </a:solidFill>
                  <a:latin typeface="+mn-lt"/>
                  <a:ea typeface="+mn-ea"/>
                  <a:cs typeface="+mn-cs"/>
                </a:defRPr>
              </a:pPr>
              <a:endParaRPr lang="en-GB"/>
            </a:p>
          </c:txPr>
        </c:title>
        <c:numFmt formatCode="_(&quot;£&quot;* #,##0.00_);_(&quot;£&quot;* \(#,##0.00\);_(&quot;£&quot;*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1380335071"/>
        <c:crosses val="autoZero"/>
        <c:crossBetween val="between"/>
        <c:majorUnit val="1"/>
      </c:valAx>
      <c:spPr>
        <a:noFill/>
        <a:ln>
          <a:noFill/>
        </a:ln>
        <a:effectLst/>
      </c:spPr>
    </c:plotArea>
    <c:legend>
      <c:legendPos val="b"/>
      <c:layout>
        <c:manualLayout>
          <c:xMode val="edge"/>
          <c:yMode val="edge"/>
          <c:x val="0.12498148171935276"/>
          <c:y val="0.95930342040578265"/>
          <c:w val="0.77201645879093828"/>
          <c:h val="3.9428071491063615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en-GB" sz="1100"/>
              <a:t>Total Annual Domestic Electricity Bill by Contract Start Date </a:t>
            </a:r>
          </a:p>
        </c:rich>
      </c:tx>
      <c:layout>
        <c:manualLayout>
          <c:xMode val="edge"/>
          <c:yMode val="edge"/>
          <c:x val="0.14988409483072365"/>
          <c:y val="2.8034343164731527E-2"/>
        </c:manualLayout>
      </c:layout>
      <c:overlay val="0"/>
      <c:spPr>
        <a:noFill/>
        <a:ln>
          <a:noFill/>
        </a:ln>
        <a:effectLst/>
      </c:spPr>
      <c:txPr>
        <a:bodyPr rot="0" spcFirstLastPara="1" vertOverflow="ellipsis" vert="horz" wrap="square" anchor="ctr" anchorCtr="1"/>
        <a:lstStyle/>
        <a:p>
          <a:pPr>
            <a:defRPr sz="11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plotArea>
      <c:layout>
        <c:manualLayout>
          <c:layoutTarget val="inner"/>
          <c:xMode val="edge"/>
          <c:yMode val="edge"/>
          <c:x val="0.10675846595847624"/>
          <c:y val="0.14796917494737466"/>
          <c:w val="0.86319918819282992"/>
          <c:h val="0.61325503803549986"/>
        </c:manualLayout>
      </c:layout>
      <c:barChart>
        <c:barDir val="col"/>
        <c:grouping val="clustered"/>
        <c:varyColors val="0"/>
        <c:ser>
          <c:idx val="1"/>
          <c:order val="0"/>
          <c:tx>
            <c:strRef>
              <c:f>'Chart Data'!$B$11</c:f>
              <c:strCache>
                <c:ptCount val="1"/>
                <c:pt idx="0">
                  <c:v>12m Contract / 2 month notice</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delete val="1"/>
          </c:dLbls>
          <c:cat>
            <c:numRef>
              <c:f>'Chart Data'!$C$10:$N$10</c:f>
              <c:numCache>
                <c:formatCode>mmm\-yy</c:formatCode>
                <c:ptCount val="12"/>
                <c:pt idx="0">
                  <c:v>46023</c:v>
                </c:pt>
                <c:pt idx="1">
                  <c:v>46054</c:v>
                </c:pt>
                <c:pt idx="2">
                  <c:v>46082</c:v>
                </c:pt>
                <c:pt idx="3">
                  <c:v>46113</c:v>
                </c:pt>
                <c:pt idx="4">
                  <c:v>46143</c:v>
                </c:pt>
                <c:pt idx="5">
                  <c:v>46174</c:v>
                </c:pt>
                <c:pt idx="6">
                  <c:v>46204</c:v>
                </c:pt>
                <c:pt idx="7">
                  <c:v>46235</c:v>
                </c:pt>
                <c:pt idx="8">
                  <c:v>46266</c:v>
                </c:pt>
                <c:pt idx="9">
                  <c:v>46296</c:v>
                </c:pt>
                <c:pt idx="10">
                  <c:v>46327</c:v>
                </c:pt>
                <c:pt idx="11">
                  <c:v>46357</c:v>
                </c:pt>
              </c:numCache>
            </c:numRef>
          </c:cat>
          <c:val>
            <c:numRef>
              <c:f>'Chart Data'!$C$11:$N$11</c:f>
              <c:numCache>
                <c:formatCode>"£"#,##0_);\("£"#,##0\)</c:formatCode>
                <c:ptCount val="12"/>
                <c:pt idx="0">
                  <c:v>1070.5280584170282</c:v>
                </c:pt>
                <c:pt idx="1">
                  <c:v>1069.3428586253615</c:v>
                </c:pt>
                <c:pt idx="2">
                  <c:v>1069.3428586253615</c:v>
                </c:pt>
                <c:pt idx="3">
                  <c:v>1069.3428586253615</c:v>
                </c:pt>
                <c:pt idx="4">
                  <c:v>1069.4745474911022</c:v>
                </c:pt>
                <c:pt idx="5">
                  <c:v>1069.6062363568431</c:v>
                </c:pt>
                <c:pt idx="6">
                  <c:v>1069.7379252225837</c:v>
                </c:pt>
                <c:pt idx="7">
                  <c:v>1069.8696140883244</c:v>
                </c:pt>
                <c:pt idx="8">
                  <c:v>1070.0013029540653</c:v>
                </c:pt>
                <c:pt idx="9">
                  <c:v>1070.132991819806</c:v>
                </c:pt>
                <c:pt idx="10">
                  <c:v>1070.2646806855466</c:v>
                </c:pt>
                <c:pt idx="11">
                  <c:v>1070.3963695512873</c:v>
                </c:pt>
              </c:numCache>
            </c:numRef>
          </c:val>
          <c:extLst>
            <c:ext xmlns:c16="http://schemas.microsoft.com/office/drawing/2014/chart" uri="{C3380CC4-5D6E-409C-BE32-E72D297353CC}">
              <c16:uniqueId val="{00000000-F12A-465A-869B-C7E405BC3EEE}"/>
            </c:ext>
          </c:extLst>
        </c:ser>
        <c:ser>
          <c:idx val="3"/>
          <c:order val="1"/>
          <c:tx>
            <c:strRef>
              <c:f>'Chart Data'!$B$13</c:f>
              <c:strCache>
                <c:ptCount val="1"/>
                <c:pt idx="0">
                  <c:v>24m Contract / 2 month notice</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delete val="1"/>
          </c:dLbls>
          <c:cat>
            <c:numRef>
              <c:f>'Chart Data'!$C$10:$N$10</c:f>
              <c:numCache>
                <c:formatCode>mmm\-yy</c:formatCode>
                <c:ptCount val="12"/>
                <c:pt idx="0">
                  <c:v>46023</c:v>
                </c:pt>
                <c:pt idx="1">
                  <c:v>46054</c:v>
                </c:pt>
                <c:pt idx="2">
                  <c:v>46082</c:v>
                </c:pt>
                <c:pt idx="3">
                  <c:v>46113</c:v>
                </c:pt>
                <c:pt idx="4">
                  <c:v>46143</c:v>
                </c:pt>
                <c:pt idx="5">
                  <c:v>46174</c:v>
                </c:pt>
                <c:pt idx="6">
                  <c:v>46204</c:v>
                </c:pt>
                <c:pt idx="7">
                  <c:v>46235</c:v>
                </c:pt>
                <c:pt idx="8">
                  <c:v>46266</c:v>
                </c:pt>
                <c:pt idx="9">
                  <c:v>46296</c:v>
                </c:pt>
                <c:pt idx="10">
                  <c:v>46327</c:v>
                </c:pt>
                <c:pt idx="11">
                  <c:v>46357</c:v>
                </c:pt>
              </c:numCache>
            </c:numRef>
          </c:cat>
          <c:val>
            <c:numRef>
              <c:f>'Chart Data'!$C$13:$N$13</c:f>
              <c:numCache>
                <c:formatCode>"£"#,##0_);\("£"#,##0\)</c:formatCode>
                <c:ptCount val="12"/>
                <c:pt idx="0">
                  <c:v>1070.7255917156392</c:v>
                </c:pt>
                <c:pt idx="1">
                  <c:v>1070.0013029540653</c:v>
                </c:pt>
                <c:pt idx="2">
                  <c:v>1070.0671473869356</c:v>
                </c:pt>
                <c:pt idx="3">
                  <c:v>1070.132991819806</c:v>
                </c:pt>
                <c:pt idx="4">
                  <c:v>1070.1988362526763</c:v>
                </c:pt>
                <c:pt idx="5">
                  <c:v>1070.2646806855466</c:v>
                </c:pt>
                <c:pt idx="6">
                  <c:v>1070.330525118417</c:v>
                </c:pt>
                <c:pt idx="7">
                  <c:v>1070.3963695512873</c:v>
                </c:pt>
                <c:pt idx="8">
                  <c:v>1070.4622139841579</c:v>
                </c:pt>
                <c:pt idx="9">
                  <c:v>1070.5280584170282</c:v>
                </c:pt>
                <c:pt idx="10">
                  <c:v>1070.5939028498985</c:v>
                </c:pt>
                <c:pt idx="11">
                  <c:v>1070.6597472827689</c:v>
                </c:pt>
              </c:numCache>
            </c:numRef>
          </c:val>
          <c:extLst>
            <c:ext xmlns:c16="http://schemas.microsoft.com/office/drawing/2014/chart" uri="{C3380CC4-5D6E-409C-BE32-E72D297353CC}">
              <c16:uniqueId val="{00000001-F12A-465A-869B-C7E405BC3EEE}"/>
            </c:ext>
          </c:extLst>
        </c:ser>
        <c:ser>
          <c:idx val="2"/>
          <c:order val="2"/>
          <c:tx>
            <c:strRef>
              <c:f>'Chart Data'!$B$12</c:f>
              <c:strCache>
                <c:ptCount val="1"/>
                <c:pt idx="0">
                  <c:v>12m Contract / 15 month notice</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delete val="1"/>
          </c:dLbls>
          <c:cat>
            <c:numRef>
              <c:f>'Chart Data'!$C$10:$N$10</c:f>
              <c:numCache>
                <c:formatCode>mmm\-yy</c:formatCode>
                <c:ptCount val="12"/>
                <c:pt idx="0">
                  <c:v>46023</c:v>
                </c:pt>
                <c:pt idx="1">
                  <c:v>46054</c:v>
                </c:pt>
                <c:pt idx="2">
                  <c:v>46082</c:v>
                </c:pt>
                <c:pt idx="3">
                  <c:v>46113</c:v>
                </c:pt>
                <c:pt idx="4">
                  <c:v>46143</c:v>
                </c:pt>
                <c:pt idx="5">
                  <c:v>46174</c:v>
                </c:pt>
                <c:pt idx="6">
                  <c:v>46204</c:v>
                </c:pt>
                <c:pt idx="7">
                  <c:v>46235</c:v>
                </c:pt>
                <c:pt idx="8">
                  <c:v>46266</c:v>
                </c:pt>
                <c:pt idx="9">
                  <c:v>46296</c:v>
                </c:pt>
                <c:pt idx="10">
                  <c:v>46327</c:v>
                </c:pt>
                <c:pt idx="11">
                  <c:v>46357</c:v>
                </c:pt>
              </c:numCache>
            </c:numRef>
          </c:cat>
          <c:val>
            <c:numRef>
              <c:f>'Chart Data'!$C$12:$N$12</c:f>
              <c:numCache>
                <c:formatCode>"£"#,##0_);\("£"#,##0\)</c:formatCode>
                <c:ptCount val="12"/>
                <c:pt idx="0">
                  <c:v>1069.3428586253615</c:v>
                </c:pt>
                <c:pt idx="1">
                  <c:v>1069.3428586253615</c:v>
                </c:pt>
                <c:pt idx="2">
                  <c:v>1069.3428586253615</c:v>
                </c:pt>
                <c:pt idx="3">
                  <c:v>1069.3428586253615</c:v>
                </c:pt>
                <c:pt idx="4">
                  <c:v>1069.3428586253615</c:v>
                </c:pt>
                <c:pt idx="5">
                  <c:v>1069.3428586253615</c:v>
                </c:pt>
                <c:pt idx="6">
                  <c:v>1069.3428586253615</c:v>
                </c:pt>
                <c:pt idx="7">
                  <c:v>1069.3428586253615</c:v>
                </c:pt>
                <c:pt idx="8">
                  <c:v>1069.3428586253615</c:v>
                </c:pt>
                <c:pt idx="9">
                  <c:v>1069.3428586253615</c:v>
                </c:pt>
                <c:pt idx="10">
                  <c:v>1069.3428586253615</c:v>
                </c:pt>
                <c:pt idx="11">
                  <c:v>1069.3428586253615</c:v>
                </c:pt>
              </c:numCache>
            </c:numRef>
          </c:val>
          <c:extLst>
            <c:ext xmlns:c16="http://schemas.microsoft.com/office/drawing/2014/chart" uri="{C3380CC4-5D6E-409C-BE32-E72D297353CC}">
              <c16:uniqueId val="{00000002-F12A-465A-869B-C7E405BC3EEE}"/>
            </c:ext>
          </c:extLst>
        </c:ser>
        <c:ser>
          <c:idx val="4"/>
          <c:order val="3"/>
          <c:tx>
            <c:strRef>
              <c:f>'Chart Data'!$B$14</c:f>
              <c:strCache>
                <c:ptCount val="1"/>
                <c:pt idx="0">
                  <c:v>24m Contract / 15 month notice</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delete val="1"/>
          </c:dLbls>
          <c:cat>
            <c:numRef>
              <c:f>'Chart Data'!$C$10:$N$10</c:f>
              <c:numCache>
                <c:formatCode>mmm\-yy</c:formatCode>
                <c:ptCount val="12"/>
                <c:pt idx="0">
                  <c:v>46023</c:v>
                </c:pt>
                <c:pt idx="1">
                  <c:v>46054</c:v>
                </c:pt>
                <c:pt idx="2">
                  <c:v>46082</c:v>
                </c:pt>
                <c:pt idx="3">
                  <c:v>46113</c:v>
                </c:pt>
                <c:pt idx="4">
                  <c:v>46143</c:v>
                </c:pt>
                <c:pt idx="5">
                  <c:v>46174</c:v>
                </c:pt>
                <c:pt idx="6">
                  <c:v>46204</c:v>
                </c:pt>
                <c:pt idx="7">
                  <c:v>46235</c:v>
                </c:pt>
                <c:pt idx="8">
                  <c:v>46266</c:v>
                </c:pt>
                <c:pt idx="9">
                  <c:v>46296</c:v>
                </c:pt>
                <c:pt idx="10">
                  <c:v>46327</c:v>
                </c:pt>
                <c:pt idx="11">
                  <c:v>46357</c:v>
                </c:pt>
              </c:numCache>
            </c:numRef>
          </c:cat>
          <c:val>
            <c:numRef>
              <c:f>'Chart Data'!$C$14:$N$14</c:f>
              <c:numCache>
                <c:formatCode>"£"#,##0_);\("£"#,##0\)</c:formatCode>
                <c:ptCount val="12"/>
                <c:pt idx="0">
                  <c:v>1069.3428586253615</c:v>
                </c:pt>
                <c:pt idx="1">
                  <c:v>1069.3428586253615</c:v>
                </c:pt>
                <c:pt idx="2">
                  <c:v>1069.3428586253615</c:v>
                </c:pt>
                <c:pt idx="3">
                  <c:v>1069.3428586253615</c:v>
                </c:pt>
                <c:pt idx="4">
                  <c:v>1069.6535948601802</c:v>
                </c:pt>
                <c:pt idx="5">
                  <c:v>1069.9643310949989</c:v>
                </c:pt>
                <c:pt idx="6">
                  <c:v>1070.2750673298176</c:v>
                </c:pt>
                <c:pt idx="7">
                  <c:v>1070.5858035646365</c:v>
                </c:pt>
                <c:pt idx="8">
                  <c:v>1070.8965397994552</c:v>
                </c:pt>
                <c:pt idx="9">
                  <c:v>1071.2072760342739</c:v>
                </c:pt>
                <c:pt idx="10">
                  <c:v>1071.5180122690927</c:v>
                </c:pt>
                <c:pt idx="11">
                  <c:v>1071.8287485039114</c:v>
                </c:pt>
              </c:numCache>
            </c:numRef>
          </c:val>
          <c:extLst>
            <c:ext xmlns:c16="http://schemas.microsoft.com/office/drawing/2014/chart" uri="{C3380CC4-5D6E-409C-BE32-E72D297353CC}">
              <c16:uniqueId val="{00000003-F12A-465A-869B-C7E405BC3EEE}"/>
            </c:ext>
          </c:extLst>
        </c:ser>
        <c:dLbls>
          <c:dLblPos val="outEnd"/>
          <c:showLegendKey val="0"/>
          <c:showVal val="1"/>
          <c:showCatName val="0"/>
          <c:showSerName val="0"/>
          <c:showPercent val="0"/>
          <c:showBubbleSize val="0"/>
        </c:dLbls>
        <c:gapWidth val="100"/>
        <c:overlap val="-24"/>
        <c:axId val="1380335071"/>
        <c:axId val="1380336991"/>
      </c:barChart>
      <c:dateAx>
        <c:axId val="1380335071"/>
        <c:scaling>
          <c:orientation val="minMax"/>
        </c:scaling>
        <c:delete val="0"/>
        <c:axPos val="b"/>
        <c:title>
          <c:tx>
            <c:rich>
              <a:bodyPr rot="0" spcFirstLastPara="1" vertOverflow="ellipsis" vert="horz" wrap="square" anchor="ctr" anchorCtr="1"/>
              <a:lstStyle/>
              <a:p>
                <a:pPr>
                  <a:defRPr sz="900" b="1" i="0" u="none" strike="noStrike" kern="1200" cap="all" baseline="0">
                    <a:solidFill>
                      <a:schemeClr val="lt1">
                        <a:lumMod val="85000"/>
                      </a:schemeClr>
                    </a:solidFill>
                    <a:latin typeface="+mn-lt"/>
                    <a:ea typeface="+mn-ea"/>
                    <a:cs typeface="+mn-cs"/>
                  </a:defRPr>
                </a:pPr>
                <a:r>
                  <a:rPr lang="en-GB"/>
                  <a:t>CONTRACT START DATE</a:t>
                </a:r>
              </a:p>
            </c:rich>
          </c:tx>
          <c:layout>
            <c:manualLayout>
              <c:xMode val="edge"/>
              <c:yMode val="edge"/>
              <c:x val="0.39621019640081701"/>
              <c:y val="0.8389565372125094"/>
            </c:manualLayout>
          </c:layout>
          <c:overlay val="0"/>
          <c:spPr>
            <a:noFill/>
            <a:ln>
              <a:noFill/>
            </a:ln>
            <a:effectLst/>
          </c:spPr>
          <c:txPr>
            <a:bodyPr rot="0" spcFirstLastPara="1" vertOverflow="ellipsis" vert="horz" wrap="square" anchor="ctr" anchorCtr="1"/>
            <a:lstStyle/>
            <a:p>
              <a:pPr>
                <a:defRPr sz="900" b="1" i="0" u="none" strike="noStrike" kern="1200" cap="all" baseline="0">
                  <a:solidFill>
                    <a:schemeClr val="lt1">
                      <a:lumMod val="85000"/>
                    </a:schemeClr>
                  </a:solidFill>
                  <a:latin typeface="+mn-lt"/>
                  <a:ea typeface="+mn-ea"/>
                  <a:cs typeface="+mn-cs"/>
                </a:defRPr>
              </a:pPr>
              <a:endParaRPr lang="en-US"/>
            </a:p>
          </c:txPr>
        </c:title>
        <c:numFmt formatCode="mmm\-yy" sourceLinked="1"/>
        <c:majorTickMark val="out"/>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1380336991"/>
        <c:crosses val="autoZero"/>
        <c:auto val="1"/>
        <c:lblOffset val="100"/>
        <c:baseTimeUnit val="months"/>
      </c:dateAx>
      <c:valAx>
        <c:axId val="1380336991"/>
        <c:scaling>
          <c:orientation val="minMax"/>
          <c:min val="800"/>
        </c:scaling>
        <c:delete val="0"/>
        <c:axPos val="l"/>
        <c:majorGridlines>
          <c:spPr>
            <a:ln w="9525" cap="flat" cmpd="sng" algn="ctr">
              <a:solidFill>
                <a:schemeClr val="lt1">
                  <a:lumMod val="95000"/>
                  <a:alpha val="10000"/>
                </a:schemeClr>
              </a:solidFill>
              <a:round/>
            </a:ln>
            <a:effectLst/>
          </c:spPr>
        </c:majorGridlines>
        <c:title>
          <c:tx>
            <c:rich>
              <a:bodyPr rot="-5400000" spcFirstLastPara="1" vertOverflow="ellipsis" vert="horz" wrap="square" anchor="ctr" anchorCtr="1"/>
              <a:lstStyle/>
              <a:p>
                <a:pPr>
                  <a:defRPr sz="900" b="1" i="0" u="none" strike="noStrike" kern="1200" cap="all" baseline="0">
                    <a:solidFill>
                      <a:schemeClr val="lt1">
                        <a:lumMod val="85000"/>
                      </a:schemeClr>
                    </a:solidFill>
                    <a:latin typeface="+mn-lt"/>
                    <a:ea typeface="+mn-ea"/>
                    <a:cs typeface="+mn-cs"/>
                  </a:defRPr>
                </a:pPr>
                <a:r>
                  <a:rPr lang="en-US"/>
                  <a:t>TOTAL ANNUAL BILL (£)</a:t>
                </a:r>
              </a:p>
            </c:rich>
          </c:tx>
          <c:overlay val="0"/>
          <c:spPr>
            <a:noFill/>
            <a:ln>
              <a:noFill/>
            </a:ln>
            <a:effectLst/>
          </c:spPr>
          <c:txPr>
            <a:bodyPr rot="-5400000" spcFirstLastPara="1" vertOverflow="ellipsis" vert="horz" wrap="square" anchor="ctr" anchorCtr="1"/>
            <a:lstStyle/>
            <a:p>
              <a:pPr>
                <a:defRPr sz="900" b="1" i="0" u="none" strike="noStrike" kern="1200" cap="all" baseline="0">
                  <a:solidFill>
                    <a:schemeClr val="lt1">
                      <a:lumMod val="85000"/>
                    </a:schemeClr>
                  </a:solidFill>
                  <a:latin typeface="+mn-lt"/>
                  <a:ea typeface="+mn-ea"/>
                  <a:cs typeface="+mn-cs"/>
                </a:defRPr>
              </a:pPr>
              <a:endParaRPr lang="en-US"/>
            </a:p>
          </c:txPr>
        </c:title>
        <c:numFmt formatCode="&quot;£&quot;#,##0_);\(&quot;£&quot;#,##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1380335071"/>
        <c:crosses val="autoZero"/>
        <c:crossBetween val="between"/>
      </c:valAx>
      <c:spPr>
        <a:noFill/>
        <a:ln>
          <a:noFill/>
        </a:ln>
        <a:effectLst/>
      </c:spPr>
    </c:plotArea>
    <c:legend>
      <c:legendPos val="b"/>
      <c:layout>
        <c:manualLayout>
          <c:xMode val="edge"/>
          <c:yMode val="edge"/>
          <c:x val="2.8488951116020785E-2"/>
          <c:y val="0.87683509052893827"/>
          <c:w val="0.96259778294434251"/>
          <c:h val="9.6046265403265274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9">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lt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lt1"/>
    </cs:fontRef>
    <cs:spPr>
      <a:ln w="9525">
        <a:solidFill>
          <a:schemeClr val="lt1">
            <a:lumMod val="95000"/>
            <a:alpha val="54000"/>
          </a:schemeClr>
        </a:solidFill>
        <a:prstDash val="dash"/>
      </a:ln>
    </cs:spPr>
  </cs:dropLine>
  <cs:errorBar>
    <cs:lnRef idx="0"/>
    <cs:fillRef idx="0"/>
    <cs:effectRef idx="0"/>
    <cs:fontRef idx="minor">
      <a:schemeClr val="lt1"/>
    </cs:fontRef>
    <cs:spPr>
      <a:ln w="9525" cap="flat" cmpd="sng" algn="ctr">
        <a:solidFill>
          <a:schemeClr val="lt1">
            <a:lumMod val="95000"/>
          </a:schemeClr>
        </a:solidFill>
        <a:round/>
      </a:ln>
    </cs:spPr>
  </cs:errorBar>
  <cs:floor>
    <cs:lnRef idx="0"/>
    <cs:fillRef idx="0"/>
    <cs:effectRef idx="0"/>
    <cs:fontRef idx="minor">
      <a:schemeClr val="lt1"/>
    </cs:fontRef>
  </cs:floor>
  <cs:gridlineMajor>
    <cs:lnRef idx="0"/>
    <cs:fillRef idx="0"/>
    <cs:effectRef idx="0"/>
    <cs:fontRef idx="minor">
      <a:schemeClr val="lt1"/>
    </cs:fontRef>
    <cs:spPr>
      <a:ln w="9525" cap="flat" cmpd="sng" algn="ctr">
        <a:solidFill>
          <a:schemeClr val="lt1">
            <a:lumMod val="95000"/>
            <a:alpha val="10000"/>
          </a:schemeClr>
        </a:solidFill>
        <a:round/>
      </a:ln>
    </cs:spPr>
  </cs:gridlineMajor>
  <cs:gridlineMinor>
    <cs:lnRef idx="0"/>
    <cs:fillRef idx="0"/>
    <cs:effectRef idx="0"/>
    <cs:fontRef idx="minor">
      <a:schemeClr val="lt1"/>
    </cs:fontRef>
    <cs:spPr>
      <a:ln>
        <a:solidFill>
          <a:schemeClr val="lt1">
            <a:lumMod val="95000"/>
            <a:alpha val="5000"/>
          </a:schemeClr>
        </a:solidFill>
      </a:ln>
    </cs:spPr>
  </cs:gridlineMinor>
  <cs:hiLoLine>
    <cs:lnRef idx="0"/>
    <cs:fillRef idx="0"/>
    <cs:effectRef idx="0"/>
    <cs:fontRef idx="minor">
      <a:schemeClr val="lt1"/>
    </cs:fontRef>
    <cs:spPr>
      <a:ln w="9525">
        <a:solidFill>
          <a:schemeClr val="lt1">
            <a:lumMod val="95000"/>
            <a:alpha val="54000"/>
          </a:schemeClr>
        </a:solidFill>
        <a:prstDash val="dash"/>
      </a:ln>
    </cs:spPr>
  </cs:hiLoLine>
  <cs:leaderLine>
    <cs:lnRef idx="0"/>
    <cs:fillRef idx="0"/>
    <cs:effectRef idx="0"/>
    <cs:fontRef idx="minor">
      <a:schemeClr val="lt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lt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209">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lt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lt1"/>
    </cs:fontRef>
    <cs:spPr>
      <a:ln w="9525">
        <a:solidFill>
          <a:schemeClr val="lt1">
            <a:lumMod val="95000"/>
            <a:alpha val="54000"/>
          </a:schemeClr>
        </a:solidFill>
        <a:prstDash val="dash"/>
      </a:ln>
    </cs:spPr>
  </cs:dropLine>
  <cs:errorBar>
    <cs:lnRef idx="0"/>
    <cs:fillRef idx="0"/>
    <cs:effectRef idx="0"/>
    <cs:fontRef idx="minor">
      <a:schemeClr val="lt1"/>
    </cs:fontRef>
    <cs:spPr>
      <a:ln w="9525" cap="flat" cmpd="sng" algn="ctr">
        <a:solidFill>
          <a:schemeClr val="lt1">
            <a:lumMod val="95000"/>
          </a:schemeClr>
        </a:solidFill>
        <a:round/>
      </a:ln>
    </cs:spPr>
  </cs:errorBar>
  <cs:floor>
    <cs:lnRef idx="0"/>
    <cs:fillRef idx="0"/>
    <cs:effectRef idx="0"/>
    <cs:fontRef idx="minor">
      <a:schemeClr val="lt1"/>
    </cs:fontRef>
  </cs:floor>
  <cs:gridlineMajor>
    <cs:lnRef idx="0"/>
    <cs:fillRef idx="0"/>
    <cs:effectRef idx="0"/>
    <cs:fontRef idx="minor">
      <a:schemeClr val="lt1"/>
    </cs:fontRef>
    <cs:spPr>
      <a:ln w="9525" cap="flat" cmpd="sng" algn="ctr">
        <a:solidFill>
          <a:schemeClr val="lt1">
            <a:lumMod val="95000"/>
            <a:alpha val="10000"/>
          </a:schemeClr>
        </a:solidFill>
        <a:round/>
      </a:ln>
    </cs:spPr>
  </cs:gridlineMajor>
  <cs:gridlineMinor>
    <cs:lnRef idx="0"/>
    <cs:fillRef idx="0"/>
    <cs:effectRef idx="0"/>
    <cs:fontRef idx="minor">
      <a:schemeClr val="lt1"/>
    </cs:fontRef>
    <cs:spPr>
      <a:ln>
        <a:solidFill>
          <a:schemeClr val="lt1">
            <a:lumMod val="95000"/>
            <a:alpha val="5000"/>
          </a:schemeClr>
        </a:solidFill>
      </a:ln>
    </cs:spPr>
  </cs:gridlineMinor>
  <cs:hiLoLine>
    <cs:lnRef idx="0"/>
    <cs:fillRef idx="0"/>
    <cs:effectRef idx="0"/>
    <cs:fontRef idx="minor">
      <a:schemeClr val="lt1"/>
    </cs:fontRef>
    <cs:spPr>
      <a:ln w="9525">
        <a:solidFill>
          <a:schemeClr val="lt1">
            <a:lumMod val="95000"/>
            <a:alpha val="54000"/>
          </a:schemeClr>
        </a:solidFill>
        <a:prstDash val="dash"/>
      </a:ln>
    </cs:spPr>
  </cs:hiLoLine>
  <cs:leaderLine>
    <cs:lnRef idx="0"/>
    <cs:fillRef idx="0"/>
    <cs:effectRef idx="0"/>
    <cs:fontRef idx="minor">
      <a:schemeClr val="lt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lt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09">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lt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lt1"/>
    </cs:fontRef>
    <cs:spPr>
      <a:ln w="9525">
        <a:solidFill>
          <a:schemeClr val="lt1">
            <a:lumMod val="95000"/>
            <a:alpha val="54000"/>
          </a:schemeClr>
        </a:solidFill>
        <a:prstDash val="dash"/>
      </a:ln>
    </cs:spPr>
  </cs:dropLine>
  <cs:errorBar>
    <cs:lnRef idx="0"/>
    <cs:fillRef idx="0"/>
    <cs:effectRef idx="0"/>
    <cs:fontRef idx="minor">
      <a:schemeClr val="lt1"/>
    </cs:fontRef>
    <cs:spPr>
      <a:ln w="9525" cap="flat" cmpd="sng" algn="ctr">
        <a:solidFill>
          <a:schemeClr val="lt1">
            <a:lumMod val="95000"/>
          </a:schemeClr>
        </a:solidFill>
        <a:round/>
      </a:ln>
    </cs:spPr>
  </cs:errorBar>
  <cs:floor>
    <cs:lnRef idx="0"/>
    <cs:fillRef idx="0"/>
    <cs:effectRef idx="0"/>
    <cs:fontRef idx="minor">
      <a:schemeClr val="lt1"/>
    </cs:fontRef>
  </cs:floor>
  <cs:gridlineMajor>
    <cs:lnRef idx="0"/>
    <cs:fillRef idx="0"/>
    <cs:effectRef idx="0"/>
    <cs:fontRef idx="minor">
      <a:schemeClr val="lt1"/>
    </cs:fontRef>
    <cs:spPr>
      <a:ln w="9525" cap="flat" cmpd="sng" algn="ctr">
        <a:solidFill>
          <a:schemeClr val="lt1">
            <a:lumMod val="95000"/>
            <a:alpha val="10000"/>
          </a:schemeClr>
        </a:solidFill>
        <a:round/>
      </a:ln>
    </cs:spPr>
  </cs:gridlineMajor>
  <cs:gridlineMinor>
    <cs:lnRef idx="0"/>
    <cs:fillRef idx="0"/>
    <cs:effectRef idx="0"/>
    <cs:fontRef idx="minor">
      <a:schemeClr val="lt1"/>
    </cs:fontRef>
    <cs:spPr>
      <a:ln>
        <a:solidFill>
          <a:schemeClr val="lt1">
            <a:lumMod val="95000"/>
            <a:alpha val="5000"/>
          </a:schemeClr>
        </a:solidFill>
      </a:ln>
    </cs:spPr>
  </cs:gridlineMinor>
  <cs:hiLoLine>
    <cs:lnRef idx="0"/>
    <cs:fillRef idx="0"/>
    <cs:effectRef idx="0"/>
    <cs:fontRef idx="minor">
      <a:schemeClr val="lt1"/>
    </cs:fontRef>
    <cs:spPr>
      <a:ln w="9525">
        <a:solidFill>
          <a:schemeClr val="lt1">
            <a:lumMod val="95000"/>
            <a:alpha val="54000"/>
          </a:schemeClr>
        </a:solidFill>
        <a:prstDash val="dash"/>
      </a:ln>
    </cs:spPr>
  </cs:hiLoLine>
  <cs:leaderLine>
    <cs:lnRef idx="0"/>
    <cs:fillRef idx="0"/>
    <cs:effectRef idx="0"/>
    <cs:fontRef idx="minor">
      <a:schemeClr val="lt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lt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lt1"/>
    </cs:fontRef>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7702E2E165D4BFEA89D8606E52BC3D1"/>
        <w:category>
          <w:name w:val="General"/>
          <w:gallery w:val="placeholder"/>
        </w:category>
        <w:types>
          <w:type w:val="bbPlcHdr"/>
        </w:types>
        <w:behaviors>
          <w:behavior w:val="content"/>
        </w:behaviors>
        <w:guid w:val="{05210164-188C-4EEF-BF3B-21DE4C32DC41}"/>
      </w:docPartPr>
      <w:docPartBody>
        <w:p w:rsidR="008A1DD5" w:rsidRDefault="006413AB" w:rsidP="006413AB">
          <w:pPr>
            <w:pStyle w:val="87702E2E165D4BFEA89D8606E52BC3D1"/>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3AB"/>
    <w:rsid w:val="00105037"/>
    <w:rsid w:val="0018494C"/>
    <w:rsid w:val="001B3B11"/>
    <w:rsid w:val="00271E52"/>
    <w:rsid w:val="003978F1"/>
    <w:rsid w:val="004329FF"/>
    <w:rsid w:val="004A3FF9"/>
    <w:rsid w:val="004D1545"/>
    <w:rsid w:val="005A76DC"/>
    <w:rsid w:val="006413AB"/>
    <w:rsid w:val="006C24BC"/>
    <w:rsid w:val="007E216C"/>
    <w:rsid w:val="00895B26"/>
    <w:rsid w:val="008A1DD5"/>
    <w:rsid w:val="009953D0"/>
    <w:rsid w:val="00A73DEB"/>
    <w:rsid w:val="00BA1475"/>
    <w:rsid w:val="00CE61D7"/>
    <w:rsid w:val="00D36ADE"/>
    <w:rsid w:val="00FA48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6413AB"/>
    <w:rPr>
      <w:rFonts w:ascii="Arial" w:eastAsia="Times New Roman" w:hAnsi="Arial" w:cs="Arial"/>
      <w:i/>
      <w:iCs/>
      <w:color w:val="00B274"/>
      <w:sz w:val="20"/>
      <w:szCs w:val="28"/>
    </w:rPr>
  </w:style>
  <w:style w:type="character" w:styleId="Emphasis">
    <w:name w:val="Emphasis"/>
    <w:basedOn w:val="DefaultParagraphFont"/>
    <w:uiPriority w:val="20"/>
    <w:qFormat/>
    <w:rsid w:val="006413AB"/>
    <w:rPr>
      <w:i/>
      <w:iCs/>
    </w:rPr>
  </w:style>
  <w:style w:type="paragraph" w:customStyle="1" w:styleId="87702E2E165D4BFEA89D8606E52BC3D1">
    <w:name w:val="87702E2E165D4BFEA89D8606E52BC3D1"/>
    <w:rsid w:val="006413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8E1C5E-FFA0-43B0-AD55-5AC358926E0E}">
  <ds:schemaRefs>
    <ds:schemaRef ds:uri="http://schemas.openxmlformats.org/officeDocument/2006/bibliography"/>
  </ds:schemaRefs>
</ds:datastoreItem>
</file>

<file path=customXml/itemProps2.xml><?xml version="1.0" encoding="utf-8"?>
<ds:datastoreItem xmlns:ds="http://schemas.openxmlformats.org/officeDocument/2006/customXml" ds:itemID="{A536B84B-2809-462F-870A-A4E2E5B09EC6}"/>
</file>

<file path=customXml/itemProps3.xml><?xml version="1.0" encoding="utf-8"?>
<ds:datastoreItem xmlns:ds="http://schemas.openxmlformats.org/officeDocument/2006/customXml" ds:itemID="{7D7D91DE-FADD-45F2-B262-DF1477D2007B}"/>
</file>

<file path=customXml/itemProps4.xml><?xml version="1.0" encoding="utf-8"?>
<ds:datastoreItem xmlns:ds="http://schemas.openxmlformats.org/officeDocument/2006/customXml" ds:itemID="{0EC0F86B-507A-45B1-93D4-F554FCA853B0}"/>
</file>

<file path=docProps/app.xml><?xml version="1.0" encoding="utf-8"?>
<Properties xmlns="http://schemas.openxmlformats.org/officeDocument/2006/extended-properties" xmlns:vt="http://schemas.openxmlformats.org/officeDocument/2006/docPropsVTypes">
  <Template>Normal</Template>
  <TotalTime>3</TotalTime>
  <Pages>13</Pages>
  <Words>4054</Words>
  <Characters>21893</Characters>
  <Application>Microsoft Office Word</Application>
  <DocSecurity>4</DocSecurity>
  <Lines>437</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Booth</dc:creator>
  <cp:keywords/>
  <dc:description/>
  <cp:lastModifiedBy>Richard Colwill</cp:lastModifiedBy>
  <cp:revision>2</cp:revision>
  <dcterms:created xsi:type="dcterms:W3CDTF">2026-07-20T08:45:00Z</dcterms:created>
  <dcterms:modified xsi:type="dcterms:W3CDTF">2026-07-20T08:45:00Z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fe2fa2-8093-4776-8a20-2d25f8c7acf2_Enabled">
    <vt:lpwstr>true</vt:lpwstr>
  </property>
  <property fmtid="{D5CDD505-2E9C-101B-9397-08002B2CF9AE}" pid="3" name="MSIP_Label_24fe2fa2-8093-4776-8a20-2d25f8c7acf2_SetDate">
    <vt:lpwstr>2026-07-03T12:35:32Z</vt:lpwstr>
  </property>
  <property fmtid="{D5CDD505-2E9C-101B-9397-08002B2CF9AE}" pid="4" name="MSIP_Label_24fe2fa2-8093-4776-8a20-2d25f8c7acf2_Method">
    <vt:lpwstr>Standard</vt:lpwstr>
  </property>
  <property fmtid="{D5CDD505-2E9C-101B-9397-08002B2CF9AE}" pid="5" name="MSIP_Label_24fe2fa2-8093-4776-8a20-2d25f8c7acf2_Name">
    <vt:lpwstr>Internal</vt:lpwstr>
  </property>
  <property fmtid="{D5CDD505-2E9C-101B-9397-08002B2CF9AE}" pid="6" name="MSIP_Label_24fe2fa2-8093-4776-8a20-2d25f8c7acf2_SiteId">
    <vt:lpwstr>887a239c-e092-45fe-92c8-d902c3681567</vt:lpwstr>
  </property>
  <property fmtid="{D5CDD505-2E9C-101B-9397-08002B2CF9AE}" pid="7" name="MSIP_Label_24fe2fa2-8093-4776-8a20-2d25f8c7acf2_ActionId">
    <vt:lpwstr>feb7dc92-c732-4d58-a0f4-01afc5149dde</vt:lpwstr>
  </property>
  <property fmtid="{D5CDD505-2E9C-101B-9397-08002B2CF9AE}" pid="8" name="MSIP_Label_24fe2fa2-8093-4776-8a20-2d25f8c7acf2_ContentBits">
    <vt:lpwstr>0</vt:lpwstr>
  </property>
  <property fmtid="{D5CDD505-2E9C-101B-9397-08002B2CF9AE}" pid="9" name="MSIP_Label_24fe2fa2-8093-4776-8a20-2d25f8c7acf2_Tag">
    <vt:lpwstr>10, 3, 0, 1</vt:lpwstr>
  </property>
  <property fmtid="{D5CDD505-2E9C-101B-9397-08002B2CF9AE}" pid="10" name="ContentTypeId">
    <vt:lpwstr>0x01010059D82CCE358ABC4A8E612162784C6687</vt:lpwstr>
  </property>
</Properties>
</file>